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44"/>
          <w:szCs w:val="44"/>
        </w:rPr>
        <w:t xml:space="preserve">Water Temperature Data Cleaning Report</w:t>
      </w:r>
    </w:p>
    <w:p>
      <w:pPr>
        <w:spacing w:after="40" w:before="0"/>
      </w:pPr>
      <w:r>
        <w:rPr>
          <w:rFonts w:ascii="Arial" w:cs="Arial" w:eastAsia="Arial" w:hAnsi="Arial"/>
          <w:b w:val="false"/>
          <w:bCs w:val="false"/>
          <w:color w:val="2E75B6"/>
          <w:sz w:val="22"/>
          <w:szCs w:val="22"/>
        </w:rPr>
        <w:t xml:space="preserve">Kinzig Catchment  |  March 2025  |  10th Logger Read-out</w:t>
      </w:r>
    </w:p>
    <w:p>
      <w:pPr>
        <w:pBdr>
          <w:bottom w:val="single" w:color="1F4E79" w:sz="8" w:space="6"/>
        </w:pBdr>
        <w:spacing w:after="240" w:before="0"/>
      </w:pPr>
      <w:r>
        <w:rPr>
          <w:rFonts w:ascii="Arial" w:cs="Arial" w:eastAsia="Arial" w:hAnsi="Arial"/>
          <w:color w:val="595959"/>
          <w:sz w:val="18"/>
          <w:szCs w:val="18"/>
        </w:rPr>
        <w:t xml:space="preserve">Logger Position A  ·  30-minute interval  ·  Daily &amp; monthly averages</w:t>
      </w:r>
    </w:p>
    <w:p>
      <w:pPr>
        <w:pStyle w:val="Heading1"/>
        <w:pBdr>
          <w:bottom w:val="single" w:color="2E75B6" w:sz="6" w:space="4"/>
        </w:pBdr>
        <w:spacing w:after="120" w:before="300"/>
      </w:pPr>
      <w:r>
        <w:rPr>
          <w:rFonts w:ascii="Arial" w:cs="Arial" w:eastAsia="Arial" w:hAnsi="Arial"/>
          <w:b/>
          <w:bCs/>
          <w:color w:val="1F4E79"/>
          <w:sz w:val="28"/>
          <w:szCs w:val="28"/>
        </w:rPr>
        <w:t xml:space="preserve">1.  Overview</w:t>
      </w:r>
    </w:p>
    <w:p>
      <w:pPr>
        <w:spacing w:after="100" w:before="80"/>
      </w:pPr>
      <w:r>
        <w:rPr>
          <w:rFonts w:ascii="Arial" w:cs="Arial" w:eastAsia="Arial" w:hAnsi="Arial"/>
          <w:b w:val="false"/>
          <w:bCs w:val="false"/>
          <w:color w:val="000000"/>
          <w:sz w:val="20"/>
          <w:szCs w:val="20"/>
        </w:rPr>
        <w:t xml:space="preserve">This report documents the full data cleaning and processing workflow applied to the raw water temperature logger data from the Kinzig catchment for March 2025. It covers the source database, the tools used, every cleaning decision made, the reasoning behind each decision, and the final outputs produced.</w:t>
      </w:r>
    </w:p>
    <w:p>
      <w:pPr>
        <w:spacing w:after="60" w:before="0"/>
      </w:pPr>
      <w:r>
        <w:t xml:space="preserve"/>
      </w:r>
    </w:p>
    <w:p>
      <w:pPr>
        <w:pStyle w:val="Heading1"/>
        <w:pBdr>
          <w:bottom w:val="single" w:color="2E75B6" w:sz="6" w:space="4"/>
        </w:pBdr>
        <w:spacing w:after="120" w:before="300"/>
      </w:pPr>
      <w:r>
        <w:rPr>
          <w:rFonts w:ascii="Arial" w:cs="Arial" w:eastAsia="Arial" w:hAnsi="Arial"/>
          <w:b/>
          <w:bCs/>
          <w:color w:val="1F4E79"/>
          <w:sz w:val="28"/>
          <w:szCs w:val="28"/>
        </w:rPr>
        <w:t xml:space="preserve">2.  Source Data</w:t>
      </w:r>
    </w:p>
    <w:p>
      <w:pPr>
        <w:pStyle w:val="Heading2"/>
        <w:spacing w:after="80" w:before="200"/>
      </w:pPr>
      <w:r>
        <w:rPr>
          <w:rFonts w:ascii="Arial" w:cs="Arial" w:eastAsia="Arial" w:hAnsi="Arial"/>
          <w:b/>
          <w:bCs/>
          <w:color w:val="2E75B6"/>
          <w:sz w:val="22"/>
          <w:szCs w:val="22"/>
        </w:rPr>
        <w:t xml:space="preserve">2.1  Database File</w:t>
      </w:r>
    </w:p>
    <w:p>
      <w:pPr>
        <w:spacing w:after="100" w:before="80"/>
      </w:pPr>
      <w:r>
        <w:rPr>
          <w:rFonts w:ascii="Arial" w:cs="Arial" w:eastAsia="Arial" w:hAnsi="Arial"/>
          <w:b/>
          <w:bCs/>
          <w:color w:val="000000"/>
          <w:sz w:val="20"/>
          <w:szCs w:val="20"/>
        </w:rPr>
        <w:t xml:space="preserve">File: </w:t>
      </w:r>
    </w:p>
    <w:p>
      <w:pPr>
        <w:spacing w:after="80" w:before="0"/>
      </w:pPr>
      <w:r>
        <w:rPr>
          <w:rFonts w:ascii="Courier New" w:cs="Courier New" w:eastAsia="Courier New" w:hAnsi="Courier New"/>
          <w:color w:val="1F4E79"/>
          <w:sz w:val="18"/>
          <w:szCs w:val="18"/>
        </w:rPr>
        <w:t xml:space="preserve">water_temperature_database.xlsb</w:t>
      </w:r>
    </w:p>
    <w:p>
      <w:pPr>
        <w:spacing w:after="100" w:before="80"/>
      </w:pPr>
      <w:r>
        <w:rPr>
          <w:rFonts w:ascii="Arial" w:cs="Arial" w:eastAsia="Arial" w:hAnsi="Arial"/>
          <w:b w:val="false"/>
          <w:bCs w:val="false"/>
          <w:color w:val="000000"/>
          <w:sz w:val="20"/>
          <w:szCs w:val="20"/>
        </w:rPr>
        <w:t xml:space="preserve">The database is a macro-enabled binary Excel workbook (.xlsb) containing all logger data collected since the project began. For the present analysis, only one sheet was used:</w:t>
      </w:r>
    </w:p>
    <w:p>
      <w:pPr>
        <w:spacing w:after="60" w:before="0"/>
      </w:pPr>
      <w:r>
        <w:t xml:space="preserve"/>
      </w:r>
    </w:p>
    <w:p>
      <w:pPr>
        <w:pStyle w:val="ListParagraph"/>
        <w:numPr>
          <w:ilvl w:val="0"/>
          <w:numId w:val="2"/>
        </w:numPr>
        <w:spacing w:after="40" w:before="40"/>
      </w:pPr>
      <w:r>
        <w:rPr>
          <w:rFonts w:ascii="Arial" w:cs="Arial" w:eastAsia="Arial" w:hAnsi="Arial"/>
          <w:color w:val="000000"/>
          <w:sz w:val="20"/>
          <w:szCs w:val="20"/>
        </w:rPr>
        <w:t xml:space="preserve">Sheet: water temperature data pt4_new: contains data from March 2024 through September 2025, covering the 10th field read-out campaign (Spring 2025).</w:t>
      </w:r>
    </w:p>
    <w:p>
      <w:pPr>
        <w:spacing w:after="60" w:before="0"/>
      </w:pPr>
      <w:r>
        <w:t xml:space="preserve"/>
      </w:r>
    </w:p>
    <w:p>
      <w:pPr>
        <w:pStyle w:val="Heading2"/>
        <w:spacing w:after="80" w:before="200"/>
      </w:pPr>
      <w:r>
        <w:rPr>
          <w:rFonts w:ascii="Arial" w:cs="Arial" w:eastAsia="Arial" w:hAnsi="Arial"/>
          <w:b/>
          <w:bCs/>
          <w:color w:val="2E75B6"/>
          <w:sz w:val="22"/>
          <w:szCs w:val="22"/>
        </w:rPr>
        <w:t xml:space="preserve">2.2  Raw Data Structure</w:t>
      </w:r>
    </w:p>
    <w:p>
      <w:pPr>
        <w:spacing w:after="100" w:before="80"/>
      </w:pPr>
      <w:r>
        <w:rPr>
          <w:rFonts w:ascii="Arial" w:cs="Arial" w:eastAsia="Arial" w:hAnsi="Arial"/>
          <w:b w:val="false"/>
          <w:bCs w:val="false"/>
          <w:color w:val="000000"/>
          <w:sz w:val="20"/>
          <w:szCs w:val="20"/>
        </w:rPr>
        <w:t xml:space="preserve">Each row in the sheet represents a single 30-minute temperature measurement. The key columns are:</w:t>
      </w:r>
    </w:p>
    <w:p>
      <w:pPr>
        <w:spacing w:after="60" w:before="0"/>
      </w:pPr>
      <w:r>
        <w:t xml:space="preserve"/>
      </w:r>
    </w:p>
    <w:p>
      <w:pPr>
        <w:pStyle w:val="ListParagraph"/>
        <w:numPr>
          <w:ilvl w:val="0"/>
          <w:numId w:val="2"/>
        </w:numPr>
        <w:spacing w:after="40" w:before="40"/>
      </w:pPr>
      <w:r>
        <w:rPr>
          <w:rFonts w:ascii="Arial" w:cs="Arial" w:eastAsia="Arial" w:hAnsi="Arial"/>
          <w:color w:val="000000"/>
          <w:sz w:val="20"/>
          <w:szCs w:val="20"/>
        </w:rPr>
        <w:t xml:space="preserve">Data_ID: unique identifier combining site name and logger serial number</w:t>
      </w:r>
    </w:p>
    <w:p>
      <w:pPr>
        <w:pStyle w:val="ListParagraph"/>
        <w:numPr>
          <w:ilvl w:val="0"/>
          <w:numId w:val="2"/>
        </w:numPr>
        <w:spacing w:after="40" w:before="40"/>
      </w:pPr>
      <w:r>
        <w:rPr>
          <w:rFonts w:ascii="Arial" w:cs="Arial" w:eastAsia="Arial" w:hAnsi="Arial"/>
          <w:color w:val="000000"/>
          <w:sz w:val="20"/>
          <w:szCs w:val="20"/>
        </w:rPr>
        <w:t xml:space="preserve">date: date stored as an Excel serial number (integer)</w:t>
      </w:r>
    </w:p>
    <w:p>
      <w:pPr>
        <w:pStyle w:val="ListParagraph"/>
        <w:numPr>
          <w:ilvl w:val="0"/>
          <w:numId w:val="2"/>
        </w:numPr>
        <w:spacing w:after="40" w:before="40"/>
      </w:pPr>
      <w:r>
        <w:rPr>
          <w:rFonts w:ascii="Arial" w:cs="Arial" w:eastAsia="Arial" w:hAnsi="Arial"/>
          <w:color w:val="000000"/>
          <w:sz w:val="20"/>
          <w:szCs w:val="20"/>
        </w:rPr>
        <w:t xml:space="preserve">time: time stored as a decimal fraction of a day</w:t>
      </w:r>
    </w:p>
    <w:p>
      <w:pPr>
        <w:pStyle w:val="ListParagraph"/>
        <w:numPr>
          <w:ilvl w:val="0"/>
          <w:numId w:val="2"/>
        </w:numPr>
        <w:spacing w:after="40" w:before="40"/>
      </w:pPr>
      <w:r>
        <w:rPr>
          <w:rFonts w:ascii="Arial" w:cs="Arial" w:eastAsia="Arial" w:hAnsi="Arial"/>
          <w:color w:val="000000"/>
          <w:sz w:val="20"/>
          <w:szCs w:val="20"/>
        </w:rPr>
        <w:t xml:space="preserve">Temp., (*C): temperature reading in degrees Celsius</w:t>
      </w:r>
    </w:p>
    <w:p>
      <w:pPr>
        <w:pStyle w:val="ListParagraph"/>
        <w:numPr>
          <w:ilvl w:val="0"/>
          <w:numId w:val="2"/>
        </w:numPr>
        <w:spacing w:after="40" w:before="40"/>
      </w:pPr>
      <w:r>
        <w:rPr>
          <w:rFonts w:ascii="Arial" w:cs="Arial" w:eastAsia="Arial" w:hAnsi="Arial"/>
          <w:color w:val="000000"/>
          <w:sz w:val="20"/>
          <w:szCs w:val="20"/>
        </w:rPr>
        <w:t xml:space="preserve">Logger_name: site code combined with logger position (e.g., Kin1_A, Bie1_B)</w:t>
      </w:r>
    </w:p>
    <w:p>
      <w:pPr>
        <w:pStyle w:val="ListParagraph"/>
        <w:numPr>
          <w:ilvl w:val="0"/>
          <w:numId w:val="2"/>
        </w:numPr>
        <w:spacing w:after="40" w:before="40"/>
      </w:pPr>
      <w:r>
        <w:rPr>
          <w:rFonts w:ascii="Arial" w:cs="Arial" w:eastAsia="Arial" w:hAnsi="Arial"/>
          <w:color w:val="000000"/>
          <w:sz w:val="20"/>
          <w:szCs w:val="20"/>
        </w:rPr>
        <w:t xml:space="preserve">Logger ID: unique hardware serial number for each logger device</w:t>
      </w:r>
    </w:p>
    <w:p>
      <w:pPr>
        <w:pStyle w:val="ListParagraph"/>
        <w:numPr>
          <w:ilvl w:val="0"/>
          <w:numId w:val="2"/>
        </w:numPr>
        <w:spacing w:after="40" w:before="40"/>
      </w:pPr>
      <w:r>
        <w:rPr>
          <w:rFonts w:ascii="Arial" w:cs="Arial" w:eastAsia="Arial" w:hAnsi="Arial"/>
          <w:color w:val="000000"/>
          <w:sz w:val="20"/>
          <w:szCs w:val="20"/>
        </w:rPr>
        <w:t xml:space="preserve">comment: free-text notes on data quality, logger status, or field events</w:t>
      </w:r>
    </w:p>
    <w:p>
      <w:pPr>
        <w:spacing w:after="60" w:before="0"/>
      </w:pPr>
      <w:r>
        <w:t xml:space="preserve"/>
      </w:r>
    </w:p>
    <w:p>
      <w:pPr>
        <w:spacing w:after="100" w:before="80"/>
      </w:pPr>
      <w:r>
        <w:rPr>
          <w:rFonts w:ascii="Arial" w:cs="Arial" w:eastAsia="Arial" w:hAnsi="Arial"/>
          <w:b w:val="false"/>
          <w:bCs w:val="false"/>
          <w:color w:val="000000"/>
          <w:sz w:val="20"/>
          <w:szCs w:val="20"/>
        </w:rPr>
        <w:t xml:space="preserve">Logger position A is the upstream logger at each site; position B is the downstream logger approximately 500 m away. The study uses A-position loggers as the representative average temperature measurement for each site, consistent with project protocol.</w:t>
      </w:r>
    </w:p>
    <w:p>
      <w:pPr>
        <w:spacing w:after="60" w:before="0"/>
      </w:pPr>
      <w:r>
        <w:t xml:space="preserve"/>
      </w:r>
    </w:p>
    <w:p>
      <w:pPr>
        <w:pStyle w:val="Heading2"/>
        <w:spacing w:after="80" w:before="200"/>
      </w:pPr>
      <w:r>
        <w:rPr>
          <w:rFonts w:ascii="Arial" w:cs="Arial" w:eastAsia="Arial" w:hAnsi="Arial"/>
          <w:b/>
          <w:bCs/>
          <w:color w:val="2E75B6"/>
          <w:sz w:val="22"/>
          <w:szCs w:val="22"/>
        </w:rPr>
        <w:t xml:space="preserve">2.3  Site Network</w:t>
      </w:r>
    </w:p>
    <w:p>
      <w:pPr>
        <w:spacing w:after="100" w:before="80"/>
      </w:pPr>
      <w:r>
        <w:rPr>
          <w:rFonts w:ascii="Arial" w:cs="Arial" w:eastAsia="Arial" w:hAnsi="Arial"/>
          <w:b w:val="false"/>
          <w:bCs w:val="false"/>
          <w:color w:val="000000"/>
          <w:sz w:val="20"/>
          <w:szCs w:val="20"/>
        </w:rPr>
        <w:t xml:space="preserve">The network covers 21 monitoring sites across 10 streams, all within the Kinzig catchment in Hesse, Germany:</w:t>
      </w:r>
    </w:p>
    <w:p>
      <w:pPr>
        <w:spacing w:after="60" w:before="0"/>
      </w:pPr>
      <w:r>
        <w:t xml:space="preserve"/>
      </w:r>
    </w:p>
    <w:p>
      <w:pPr>
        <w:pStyle w:val="ListParagraph"/>
        <w:numPr>
          <w:ilvl w:val="0"/>
          <w:numId w:val="2"/>
        </w:numPr>
        <w:spacing w:after="40" w:before="40"/>
      </w:pPr>
      <w:r>
        <w:rPr>
          <w:rFonts w:ascii="Arial" w:cs="Arial" w:eastAsia="Arial" w:hAnsi="Arial"/>
          <w:color w:val="000000"/>
          <w:sz w:val="20"/>
          <w:szCs w:val="20"/>
        </w:rPr>
        <w:t xml:space="preserve">Bieber: BIE1, BIE2</w:t>
      </w:r>
    </w:p>
    <w:p>
      <w:pPr>
        <w:pStyle w:val="ListParagraph"/>
        <w:numPr>
          <w:ilvl w:val="0"/>
          <w:numId w:val="2"/>
        </w:numPr>
        <w:spacing w:after="40" w:before="40"/>
      </w:pPr>
      <w:r>
        <w:rPr>
          <w:rFonts w:ascii="Arial" w:cs="Arial" w:eastAsia="Arial" w:hAnsi="Arial"/>
          <w:color w:val="000000"/>
          <w:sz w:val="20"/>
          <w:szCs w:val="20"/>
        </w:rPr>
        <w:t xml:space="preserve">Bracht: BRA1, BRA2</w:t>
      </w:r>
    </w:p>
    <w:p>
      <w:pPr>
        <w:pStyle w:val="ListParagraph"/>
        <w:numPr>
          <w:ilvl w:val="0"/>
          <w:numId w:val="2"/>
        </w:numPr>
        <w:spacing w:after="40" w:before="40"/>
      </w:pPr>
      <w:r>
        <w:rPr>
          <w:rFonts w:ascii="Arial" w:cs="Arial" w:eastAsia="Arial" w:hAnsi="Arial"/>
          <w:color w:val="000000"/>
          <w:sz w:val="20"/>
          <w:szCs w:val="20"/>
        </w:rPr>
        <w:t xml:space="preserve">Fallbach: FAL1, FAL2</w:t>
      </w:r>
    </w:p>
    <w:p>
      <w:pPr>
        <w:pStyle w:val="ListParagraph"/>
        <w:numPr>
          <w:ilvl w:val="0"/>
          <w:numId w:val="2"/>
        </w:numPr>
        <w:spacing w:after="40" w:before="40"/>
      </w:pPr>
      <w:r>
        <w:rPr>
          <w:rFonts w:ascii="Arial" w:cs="Arial" w:eastAsia="Arial" w:hAnsi="Arial"/>
          <w:color w:val="000000"/>
          <w:sz w:val="20"/>
          <w:szCs w:val="20"/>
        </w:rPr>
        <w:t xml:space="preserve">Gründau: GRU1, GRU2</w:t>
      </w:r>
    </w:p>
    <w:p>
      <w:pPr>
        <w:pStyle w:val="ListParagraph"/>
        <w:numPr>
          <w:ilvl w:val="0"/>
          <w:numId w:val="2"/>
        </w:numPr>
        <w:spacing w:after="40" w:before="40"/>
      </w:pPr>
      <w:r>
        <w:rPr>
          <w:rFonts w:ascii="Arial" w:cs="Arial" w:eastAsia="Arial" w:hAnsi="Arial"/>
          <w:color w:val="000000"/>
          <w:sz w:val="20"/>
          <w:szCs w:val="20"/>
        </w:rPr>
        <w:t xml:space="preserve">Kinzig (main river): KIN1, KIN2, KIN3, KIN4</w:t>
      </w:r>
    </w:p>
    <w:p>
      <w:pPr>
        <w:pStyle w:val="ListParagraph"/>
        <w:numPr>
          <w:ilvl w:val="0"/>
          <w:numId w:val="2"/>
        </w:numPr>
        <w:spacing w:after="40" w:before="40"/>
      </w:pPr>
      <w:r>
        <w:rPr>
          <w:rFonts w:ascii="Arial" w:cs="Arial" w:eastAsia="Arial" w:hAnsi="Arial"/>
          <w:color w:val="000000"/>
          <w:sz w:val="20"/>
          <w:szCs w:val="20"/>
        </w:rPr>
        <w:t xml:space="preserve">Klinge: KLI</w:t>
      </w:r>
    </w:p>
    <w:p>
      <w:pPr>
        <w:pStyle w:val="ListParagraph"/>
        <w:numPr>
          <w:ilvl w:val="0"/>
          <w:numId w:val="2"/>
        </w:numPr>
        <w:spacing w:after="40" w:before="40"/>
      </w:pPr>
      <w:r>
        <w:rPr>
          <w:rFonts w:ascii="Arial" w:cs="Arial" w:eastAsia="Arial" w:hAnsi="Arial"/>
          <w:color w:val="000000"/>
          <w:sz w:val="20"/>
          <w:szCs w:val="20"/>
        </w:rPr>
        <w:t xml:space="preserve">Krebsbach: KRE1, KRE2</w:t>
      </w:r>
    </w:p>
    <w:p>
      <w:pPr>
        <w:pStyle w:val="ListParagraph"/>
        <w:numPr>
          <w:ilvl w:val="0"/>
          <w:numId w:val="2"/>
        </w:numPr>
        <w:spacing w:after="40" w:before="40"/>
      </w:pPr>
      <w:r>
        <w:rPr>
          <w:rFonts w:ascii="Arial" w:cs="Arial" w:eastAsia="Arial" w:hAnsi="Arial"/>
          <w:color w:val="000000"/>
          <w:sz w:val="20"/>
          <w:szCs w:val="20"/>
        </w:rPr>
        <w:t xml:space="preserve">Orb: ORB1, ORB2</w:t>
      </w:r>
    </w:p>
    <w:p>
      <w:pPr>
        <w:pStyle w:val="ListParagraph"/>
        <w:numPr>
          <w:ilvl w:val="0"/>
          <w:numId w:val="2"/>
        </w:numPr>
        <w:spacing w:after="40" w:before="40"/>
      </w:pPr>
      <w:r>
        <w:rPr>
          <w:rFonts w:ascii="Arial" w:cs="Arial" w:eastAsia="Arial" w:hAnsi="Arial"/>
          <w:color w:val="000000"/>
          <w:sz w:val="20"/>
          <w:szCs w:val="20"/>
        </w:rPr>
        <w:t xml:space="preserve">Salz: SAL1, SAL2</w:t>
      </w:r>
    </w:p>
    <w:p>
      <w:pPr>
        <w:pStyle w:val="ListParagraph"/>
        <w:numPr>
          <w:ilvl w:val="0"/>
          <w:numId w:val="2"/>
        </w:numPr>
        <w:spacing w:after="40" w:before="40"/>
      </w:pPr>
      <w:r>
        <w:rPr>
          <w:rFonts w:ascii="Arial" w:cs="Arial" w:eastAsia="Arial" w:hAnsi="Arial"/>
          <w:color w:val="000000"/>
          <w:sz w:val="20"/>
          <w:szCs w:val="20"/>
        </w:rPr>
        <w:t xml:space="preserve">Steinau: STE1, STE2</w:t>
      </w:r>
    </w:p>
    <w:p>
      <w:pPr>
        <w:spacing w:after="60" w:before="0"/>
      </w:pPr>
      <w:r>
        <w:t xml:space="preserve"/>
      </w:r>
    </w:p>
    <w:p>
      <w:pPr>
        <w:pStyle w:val="Heading1"/>
        <w:pBdr>
          <w:bottom w:val="single" w:color="2E75B6" w:sz="6" w:space="4"/>
        </w:pBdr>
        <w:spacing w:after="120" w:before="300"/>
      </w:pPr>
      <w:r>
        <w:rPr>
          <w:rFonts w:ascii="Arial" w:cs="Arial" w:eastAsia="Arial" w:hAnsi="Arial"/>
          <w:b/>
          <w:bCs/>
          <w:color w:val="1F4E79"/>
          <w:sz w:val="28"/>
          <w:szCs w:val="28"/>
        </w:rPr>
        <w:t xml:space="preserve">3.  Field Protocol Context</w:t>
      </w:r>
    </w:p>
    <w:p>
      <w:pPr>
        <w:spacing w:after="100" w:before="80"/>
      </w:pPr>
      <w:r>
        <w:rPr>
          <w:rFonts w:ascii="Arial" w:cs="Arial" w:eastAsia="Arial" w:hAnsi="Arial"/>
          <w:b w:val="false"/>
          <w:bCs w:val="false"/>
          <w:color w:val="000000"/>
          <w:sz w:val="20"/>
          <w:szCs w:val="20"/>
        </w:rPr>
        <w:t xml:space="preserve">The 10th read-out campaign (labelled "Spring 2025" in the field protocol) took place on 10–11 March 2025. During field visits, loggers were read out in place using a handheld device; a subset were also swapped for fresh units if battery levels were low or if a logger had failed. Handwritten field notes were recorded on paper protocol sheets, scanned, and later transcribed into the database comment column.</w:t>
      </w:r>
    </w:p>
    <w:p>
      <w:pPr>
        <w:spacing w:after="60" w:before="0"/>
      </w:pPr>
      <w:r>
        <w:t xml:space="preserve"/>
      </w:r>
    </w:p>
    <w:p>
      <w:pPr>
        <w:spacing w:after="100" w:before="80"/>
      </w:pPr>
      <w:r>
        <w:rPr>
          <w:rFonts w:ascii="Arial" w:cs="Arial" w:eastAsia="Arial" w:hAnsi="Arial"/>
          <w:b w:val="false"/>
          <w:bCs w:val="false"/>
          <w:color w:val="000000"/>
          <w:sz w:val="20"/>
          <w:szCs w:val="20"/>
        </w:rPr>
        <w:t xml:space="preserve">The field protocol confirmed: most sites were read out on 10 March 2025; BIE1, BIE2, GRU1, GRU2, KIN4, ORB2, and SAL1–2 were read out on 11 March 2025. At KIN2, KRE2, and STE1 the old logger was removed and a new one placed on the same day, creating a brief data gap or a partial-day record on the transition date.</w:t>
      </w:r>
    </w:p>
    <w:p>
      <w:pPr>
        <w:spacing w:after="60" w:before="0"/>
      </w:pPr>
      <w:r>
        <w:t xml:space="preserve"/>
      </w:r>
    </w:p>
    <w:p>
      <w:pPr>
        <w:pStyle w:val="Heading1"/>
        <w:pBdr>
          <w:bottom w:val="single" w:color="2E75B6" w:sz="6" w:space="4"/>
        </w:pBdr>
        <w:spacing w:after="120" w:before="300"/>
      </w:pPr>
      <w:r>
        <w:rPr>
          <w:rFonts w:ascii="Arial" w:cs="Arial" w:eastAsia="Arial" w:hAnsi="Arial"/>
          <w:b/>
          <w:bCs/>
          <w:color w:val="1F4E79"/>
          <w:sz w:val="28"/>
          <w:szCs w:val="28"/>
        </w:rPr>
        <w:t xml:space="preserve">4.  Tools and Libraries</w:t>
      </w:r>
    </w:p>
    <w:p>
      <w:pPr>
        <w:spacing w:after="100" w:before="80"/>
      </w:pPr>
      <w:r>
        <w:rPr>
          <w:rFonts w:ascii="Arial" w:cs="Arial" w:eastAsia="Arial" w:hAnsi="Arial"/>
          <w:b w:val="false"/>
          <w:bCs w:val="false"/>
          <w:color w:val="000000"/>
          <w:sz w:val="20"/>
          <w:szCs w:val="20"/>
        </w:rPr>
        <w:t xml:space="preserve">All processing was performed in Python 3 inside a Linux sandbox environment. No manual editing of the raw data was carried out at any point.</w:t>
      </w:r>
    </w:p>
    <w:p>
      <w:pPr>
        <w:spacing w:after="60" w:before="0"/>
      </w:pPr>
      <w:r>
        <w:t xml:space="preserve"/>
      </w:r>
    </w:p>
    <w:p>
      <w:pPr>
        <w:pStyle w:val="ListParagraph"/>
        <w:numPr>
          <w:ilvl w:val="0"/>
          <w:numId w:val="2"/>
        </w:numPr>
        <w:spacing w:after="40" w:before="40"/>
      </w:pPr>
      <w:r>
        <w:rPr>
          <w:rFonts w:ascii="Arial" w:cs="Arial" w:eastAsia="Arial" w:hAnsi="Arial"/>
          <w:color w:val="000000"/>
          <w:sz w:val="20"/>
          <w:szCs w:val="20"/>
        </w:rPr>
        <w:t xml:space="preserve">pandas (read_excel with engine="pyxlsb"): loading and filtering the .xlsb database</w:t>
      </w:r>
    </w:p>
    <w:p>
      <w:pPr>
        <w:pStyle w:val="ListParagraph"/>
        <w:numPr>
          <w:ilvl w:val="0"/>
          <w:numId w:val="2"/>
        </w:numPr>
        <w:spacing w:after="40" w:before="40"/>
      </w:pPr>
      <w:r>
        <w:rPr>
          <w:rFonts w:ascii="Arial" w:cs="Arial" w:eastAsia="Arial" w:hAnsi="Arial"/>
          <w:color w:val="000000"/>
          <w:sz w:val="20"/>
          <w:szCs w:val="20"/>
        </w:rPr>
        <w:t xml:space="preserve">pyxlsb: binary Excel engine required to open .xlsb files</w:t>
      </w:r>
    </w:p>
    <w:p>
      <w:pPr>
        <w:pStyle w:val="ListParagraph"/>
        <w:numPr>
          <w:ilvl w:val="0"/>
          <w:numId w:val="2"/>
        </w:numPr>
        <w:spacing w:after="40" w:before="40"/>
      </w:pPr>
      <w:r>
        <w:rPr>
          <w:rFonts w:ascii="Arial" w:cs="Arial" w:eastAsia="Arial" w:hAnsi="Arial"/>
          <w:color w:val="000000"/>
          <w:sz w:val="20"/>
          <w:szCs w:val="20"/>
        </w:rPr>
        <w:t xml:space="preserve">Python datetime / timedelta: converting Excel serial date numbers to calendar dates</w:t>
      </w:r>
    </w:p>
    <w:p>
      <w:pPr>
        <w:pStyle w:val="ListParagraph"/>
        <w:numPr>
          <w:ilvl w:val="0"/>
          <w:numId w:val="2"/>
        </w:numPr>
        <w:spacing w:after="40" w:before="40"/>
      </w:pPr>
      <w:r>
        <w:rPr>
          <w:rFonts w:ascii="Arial" w:cs="Arial" w:eastAsia="Arial" w:hAnsi="Arial"/>
          <w:color w:val="000000"/>
          <w:sz w:val="20"/>
          <w:szCs w:val="20"/>
        </w:rPr>
        <w:t xml:space="preserve">openpyxl: writing the clean output .xlsx files</w:t>
      </w:r>
    </w:p>
    <w:p>
      <w:pPr>
        <w:pStyle w:val="ListParagraph"/>
        <w:numPr>
          <w:ilvl w:val="0"/>
          <w:numId w:val="2"/>
        </w:numPr>
        <w:spacing w:after="40" w:before="40"/>
      </w:pPr>
      <w:r>
        <w:rPr>
          <w:rFonts w:ascii="Arial" w:cs="Arial" w:eastAsia="Arial" w:hAnsi="Arial"/>
          <w:color w:val="000000"/>
          <w:sz w:val="20"/>
          <w:szCs w:val="20"/>
        </w:rPr>
        <w:t xml:space="preserve">pdfplumber + Tesseract OCR (via pdf2image / poppler-utils): reading the scanned field protocol PDFs to cross-check database comments against handwritten notes</w:t>
      </w:r>
    </w:p>
    <w:p>
      <w:pPr>
        <w:spacing w:after="60" w:before="0"/>
      </w:pPr>
      <w:r>
        <w:t xml:space="preserve"/>
      </w:r>
    </w:p>
    <w:p>
      <w:pPr>
        <w:spacing w:after="100" w:before="80"/>
      </w:pPr>
      <w:r>
        <w:rPr>
          <w:rFonts w:ascii="Arial" w:cs="Arial" w:eastAsia="Arial" w:hAnsi="Arial"/>
          <w:b w:val="false"/>
          <w:bCs w:val="false"/>
          <w:color w:val="000000"/>
          <w:sz w:val="20"/>
          <w:szCs w:val="20"/>
        </w:rPr>
        <w:t xml:space="preserve">The field protocol PDF ("10th read out_Spring 2025.pdf") was rendered as images at 200 dpi and processed with Tesseract OCR to extract site codes, logger serial numbers, read-out dates, times, and handwritten comments. These were then used to verify the completeness and accuracy of the database comment column.</w:t>
      </w:r>
    </w:p>
    <w:p>
      <w:pPr>
        <w:spacing w:after="60" w:before="0"/>
      </w:pPr>
      <w:r>
        <w:t xml:space="preserve"/>
      </w:r>
    </w:p>
    <w:p>
      <w:pPr>
        <w:pStyle w:val="Heading1"/>
        <w:pBdr>
          <w:bottom w:val="single" w:color="2E75B6" w:sz="6" w:space="4"/>
        </w:pBdr>
        <w:spacing w:after="120" w:before="300"/>
      </w:pPr>
      <w:r>
        <w:rPr>
          <w:rFonts w:ascii="Arial" w:cs="Arial" w:eastAsia="Arial" w:hAnsi="Arial"/>
          <w:b/>
          <w:bCs/>
          <w:color w:val="1F4E79"/>
          <w:sz w:val="28"/>
          <w:szCs w:val="28"/>
        </w:rPr>
        <w:t xml:space="preserve">5.  Data Cleaning Steps</w:t>
      </w:r>
    </w:p>
    <w:p>
      <w:pPr>
        <w:pStyle w:val="Heading2"/>
        <w:spacing w:after="80" w:before="200"/>
      </w:pPr>
      <w:r>
        <w:rPr>
          <w:rFonts w:ascii="Arial" w:cs="Arial" w:eastAsia="Arial" w:hAnsi="Arial"/>
          <w:b/>
          <w:bCs/>
          <w:color w:val="2E75B6"/>
          <w:sz w:val="22"/>
          <w:szCs w:val="22"/>
        </w:rPr>
        <w:t xml:space="preserve">5.1  Step 1: Filter to Study Scope</w:t>
      </w:r>
    </w:p>
    <w:p>
      <w:pPr>
        <w:spacing w:after="100" w:before="80"/>
      </w:pPr>
      <w:r>
        <w:rPr>
          <w:rFonts w:ascii="Arial" w:cs="Arial" w:eastAsia="Arial" w:hAnsi="Arial"/>
          <w:b w:val="false"/>
          <w:bCs w:val="false"/>
          <w:color w:val="000000"/>
          <w:sz w:val="20"/>
          <w:szCs w:val="20"/>
        </w:rPr>
        <w:t xml:space="preserve">From the full pt4 sheet (470,033 rows spanning March 2024 to September 2025), rows were filtered to:</w:t>
      </w:r>
    </w:p>
    <w:p>
      <w:pPr>
        <w:spacing w:after="60" w:before="0"/>
      </w:pPr>
      <w:r>
        <w:t xml:space="preserve"/>
      </w:r>
    </w:p>
    <w:p>
      <w:pPr>
        <w:pStyle w:val="ListParagraph"/>
        <w:numPr>
          <w:ilvl w:val="0"/>
          <w:numId w:val="2"/>
        </w:numPr>
        <w:spacing w:after="40" w:before="40"/>
      </w:pPr>
      <w:r>
        <w:rPr>
          <w:rFonts w:ascii="Arial" w:cs="Arial" w:eastAsia="Arial" w:hAnsi="Arial"/>
          <w:color w:val="000000"/>
          <w:sz w:val="20"/>
          <w:szCs w:val="20"/>
        </w:rPr>
        <w:t xml:space="preserve">Date range: 01 March 2025 to 31 March 2025 (inclusive)</w:t>
      </w:r>
    </w:p>
    <w:p>
      <w:pPr>
        <w:pStyle w:val="ListParagraph"/>
        <w:numPr>
          <w:ilvl w:val="0"/>
          <w:numId w:val="2"/>
        </w:numPr>
        <w:spacing w:after="40" w:before="40"/>
      </w:pPr>
      <w:r>
        <w:rPr>
          <w:rFonts w:ascii="Arial" w:cs="Arial" w:eastAsia="Arial" w:hAnsi="Arial"/>
          <w:color w:val="000000"/>
          <w:sz w:val="20"/>
          <w:szCs w:val="20"/>
        </w:rPr>
        <w:t xml:space="preserve">Logger position: A only (Logger_name ending with "_A")</w:t>
      </w:r>
    </w:p>
    <w:p>
      <w:pPr>
        <w:spacing w:after="60" w:before="0"/>
      </w:pPr>
      <w:r>
        <w:t xml:space="preserve"/>
      </w:r>
    </w:p>
    <w:p>
      <w:pPr>
        <w:spacing w:after="100" w:before="80"/>
      </w:pPr>
      <w:r>
        <w:rPr>
          <w:rFonts w:ascii="Arial" w:cs="Arial" w:eastAsia="Arial" w:hAnsi="Arial"/>
          <w:b w:val="false"/>
          <w:bCs w:val="false"/>
          <w:color w:val="000000"/>
          <w:sz w:val="20"/>
          <w:szCs w:val="20"/>
        </w:rPr>
        <w:t xml:space="preserve">This left 27,558 rows across 21 A-logger series before any quality filtering.</w:t>
      </w:r>
    </w:p>
    <w:p>
      <w:pPr>
        <w:spacing w:after="60" w:before="0"/>
      </w:pPr>
      <w:r>
        <w:t xml:space="preserve"/>
      </w:r>
    </w:p>
    <w:p>
      <w:pPr>
        <w:pStyle w:val="Heading2"/>
        <w:spacing w:after="80" w:before="200"/>
      </w:pPr>
      <w:r>
        <w:rPr>
          <w:rFonts w:ascii="Arial" w:cs="Arial" w:eastAsia="Arial" w:hAnsi="Arial"/>
          <w:b/>
          <w:bCs/>
          <w:color w:val="2E75B6"/>
          <w:sz w:val="22"/>
          <w:szCs w:val="22"/>
        </w:rPr>
        <w:t xml:space="preserve">5.2  Step 2: Remove Exact Duplicates (GRU1)</w:t>
      </w:r>
    </w:p>
    <w:p>
      <w:pPr>
        <w:spacing w:after="100" w:before="80"/>
      </w:pPr>
      <w:r>
        <w:rPr>
          <w:rFonts w:ascii="Arial" w:cs="Arial" w:eastAsia="Arial" w:hAnsi="Arial"/>
          <w:b w:val="false"/>
          <w:bCs w:val="false"/>
          <w:color w:val="000000"/>
          <w:sz w:val="20"/>
          <w:szCs w:val="20"/>
        </w:rPr>
        <w:t xml:space="preserve">Why: Inspection of GRU1_A (logger 21482225) revealed that every timestamp for the entire month appeared exactly twice in the database: all 1,486 rows were duplicated with identical values. This is a data-entry error, not a measurement issue.</w:t>
      </w:r>
    </w:p>
    <w:p>
      <w:pPr>
        <w:spacing w:after="60" w:before="0"/>
      </w:pPr>
      <w:r>
        <w:t xml:space="preserve"/>
      </w:r>
    </w:p>
    <w:p>
      <w:pPr>
        <w:spacing w:after="100" w:before="80"/>
      </w:pPr>
      <w:r>
        <w:rPr>
          <w:rFonts w:ascii="Arial" w:cs="Arial" w:eastAsia="Arial" w:hAnsi="Arial"/>
          <w:b w:val="false"/>
          <w:bCs w:val="false"/>
          <w:color w:val="000000"/>
          <w:sz w:val="20"/>
          <w:szCs w:val="20"/>
        </w:rPr>
        <w:t xml:space="preserve">Action: Dropped duplicate rows by deduplicating on (Logger_name, date &amp; time), keeping the first occurrence. This reduced GRU1_A from 2,972 to 1,486 rows, restoring the expected 48 readings per day.</w:t>
      </w:r>
    </w:p>
    <w:p>
      <w:pPr>
        <w:spacing w:after="60" w:before="0"/>
      </w:pPr>
      <w:r>
        <w:t xml:space="preserve"/>
      </w:r>
    </w:p>
    <w:p>
      <w:pPr>
        <w:pStyle w:val="Heading2"/>
        <w:spacing w:after="80" w:before="200"/>
      </w:pPr>
      <w:r>
        <w:rPr>
          <w:rFonts w:ascii="Arial" w:cs="Arial" w:eastAsia="Arial" w:hAnsi="Arial"/>
          <w:b/>
          <w:bCs/>
          <w:color w:val="2E75B6"/>
          <w:sz w:val="22"/>
          <w:szCs w:val="22"/>
        </w:rPr>
        <w:t xml:space="preserve">5.3  Step 3: Exclude Out-of-Water Rows (Comment-Based)</w:t>
      </w:r>
    </w:p>
    <w:p>
      <w:pPr>
        <w:spacing w:after="100" w:before="80"/>
      </w:pPr>
      <w:r>
        <w:rPr>
          <w:rFonts w:ascii="Arial" w:cs="Arial" w:eastAsia="Arial" w:hAnsi="Arial"/>
          <w:b w:val="false"/>
          <w:bCs w:val="false"/>
          <w:color w:val="000000"/>
          <w:sz w:val="20"/>
          <w:szCs w:val="20"/>
        </w:rPr>
        <w:t xml:space="preserve">Why: The database comment column contains standardised flags entered at the time of data import. Three comment patterns indicate that a logger was not measuring water temperature at the time of the reading:</w:t>
      </w:r>
    </w:p>
    <w:p>
      <w:pPr>
        <w:spacing w:after="60" w:before="0"/>
      </w:pPr>
      <w:r>
        <w:t xml:space="preserve"/>
      </w:r>
    </w:p>
    <w:p>
      <w:pPr>
        <w:pStyle w:val="ListParagraph"/>
        <w:numPr>
          <w:ilvl w:val="0"/>
          <w:numId w:val="2"/>
        </w:numPr>
        <w:spacing w:after="40" w:before="40"/>
      </w:pPr>
      <w:r>
        <w:rPr>
          <w:rFonts w:ascii="Arial" w:cs="Arial" w:eastAsia="Arial" w:hAnsi="Arial"/>
          <w:color w:val="000000"/>
          <w:sz w:val="20"/>
          <w:szCs w:val="20"/>
        </w:rPr>
        <w:t xml:space="preserve">"outside the water": logger physically displaced from its mount and sitting in air or on dry ground</w:t>
      </w:r>
    </w:p>
    <w:p>
      <w:pPr>
        <w:pStyle w:val="ListParagraph"/>
        <w:numPr>
          <w:ilvl w:val="0"/>
          <w:numId w:val="2"/>
        </w:numPr>
        <w:spacing w:after="40" w:before="40"/>
      </w:pPr>
      <w:r>
        <w:rPr>
          <w:rFonts w:ascii="Arial" w:cs="Arial" w:eastAsia="Arial" w:hAnsi="Arial"/>
          <w:color w:val="000000"/>
          <w:sz w:val="20"/>
          <w:szCs w:val="20"/>
        </w:rPr>
        <w:t xml:space="preserve">"outside the waterbody": logger found on the bank or in dry substrate</w:t>
      </w:r>
    </w:p>
    <w:p>
      <w:pPr>
        <w:pStyle w:val="ListParagraph"/>
        <w:numPr>
          <w:ilvl w:val="0"/>
          <w:numId w:val="2"/>
        </w:numPr>
        <w:spacing w:after="40" w:before="40"/>
      </w:pPr>
      <w:r>
        <w:rPr>
          <w:rFonts w:ascii="Arial" w:cs="Arial" w:eastAsia="Arial" w:hAnsi="Arial"/>
          <w:color w:val="000000"/>
          <w:sz w:val="20"/>
          <w:szCs w:val="20"/>
        </w:rPr>
        <w:t xml:space="preserve">"do not use this reading": logger temporarily removed during the field visit for inspection or data download; the single measurement recorded at that moment reflects air or handling temperature, not stream temperature</w:t>
      </w:r>
    </w:p>
    <w:p>
      <w:pPr>
        <w:spacing w:after="60" w:before="0"/>
      </w:pPr>
      <w:r>
        <w:t xml:space="preserve"/>
      </w:r>
    </w:p>
    <w:p>
      <w:pPr>
        <w:spacing w:after="100" w:before="80"/>
      </w:pPr>
      <w:r>
        <w:rPr>
          <w:rFonts w:ascii="Arial" w:cs="Arial" w:eastAsia="Arial" w:hAnsi="Arial"/>
          <w:b w:val="false"/>
          <w:bCs w:val="false"/>
          <w:color w:val="000000"/>
          <w:sz w:val="20"/>
          <w:szCs w:val="20"/>
        </w:rPr>
        <w:t xml:space="preserve">Action: All rows whose comment field contained any of the above strings (case-insensitive) were removed. This excluded 1,489 rows in total, affecting KIN3_A (entire period from 10 March onward), KIN4_A (1–10 March), and one single-row read-out event at FAL2_A on 10 March.</w:t>
      </w:r>
    </w:p>
    <w:p>
      <w:pPr>
        <w:spacing w:after="60" w:before="0"/>
      </w:pPr>
      <w:r>
        <w:t xml:space="preserve"/>
      </w:r>
    </w:p>
    <w:p>
      <w:pPr>
        <w:pStyle w:val="Heading2"/>
        <w:spacing w:after="80" w:before="200"/>
      </w:pPr>
      <w:r>
        <w:rPr>
          <w:rFonts w:ascii="Arial" w:cs="Arial" w:eastAsia="Arial" w:hAnsi="Arial"/>
          <w:b/>
          <w:bCs/>
          <w:color w:val="2E75B6"/>
          <w:sz w:val="22"/>
          <w:szCs w:val="22"/>
        </w:rPr>
        <w:t xml:space="preserve">5.4  Step 4: Detect and Exclude Air-Temperature Contamination (FAL2)</w:t>
      </w:r>
    </w:p>
    <w:p>
      <w:pPr>
        <w:spacing w:after="100" w:before="80"/>
      </w:pPr>
      <w:r>
        <w:rPr>
          <w:rFonts w:ascii="Arial" w:cs="Arial" w:eastAsia="Arial" w:hAnsi="Arial"/>
          <w:b w:val="false"/>
          <w:bCs w:val="false"/>
          <w:color w:val="000000"/>
          <w:sz w:val="20"/>
          <w:szCs w:val="20"/>
        </w:rPr>
        <w:t xml:space="preserve">Why: After the comment-based exclusion, FAL2_A still showed highly anomalous readings on 17–20 March 2025: temperatures fell to below −7 °C overnight and climbed to above 14 °C in the afternoon: a clear diurnal air-temperature signal, not a stream-temperature signal. No database comment flagged this period, but the pattern is unmistakeable: stream water in this region does not freeze in March, nor does it exceed 14 °C in a single afternoon.</w:t>
      </w:r>
    </w:p>
    <w:p>
      <w:pPr>
        <w:spacing w:after="60" w:before="0"/>
      </w:pPr>
      <w:r>
        <w:t xml:space="preserve"/>
      </w:r>
    </w:p>
    <w:p>
      <w:pPr>
        <w:spacing w:after="100" w:before="80"/>
      </w:pPr>
      <w:r>
        <w:rPr>
          <w:rFonts w:ascii="Arial" w:cs="Arial" w:eastAsia="Arial" w:hAnsi="Arial"/>
          <w:b w:val="false"/>
          <w:bCs w:val="false"/>
          <w:color w:val="000000"/>
          <w:sz w:val="20"/>
          <w:szCs w:val="20"/>
        </w:rPr>
        <w:t xml:space="preserve">The most likely explanation is that the stream level dropped (or the logger mounting shifted) between the 10 March read-out and 17 March, leaving the logger exposed to air. Because no field visit occurred between those dates, no database entry captured this event.</w:t>
      </w:r>
    </w:p>
    <w:p>
      <w:pPr>
        <w:spacing w:after="60" w:before="0"/>
      </w:pPr>
      <w:r>
        <w:t xml:space="preserve"/>
      </w:r>
    </w:p>
    <w:p>
      <w:pPr>
        <w:spacing w:after="100" w:before="80"/>
      </w:pPr>
      <w:r>
        <w:rPr>
          <w:rFonts w:ascii="Arial" w:cs="Arial" w:eastAsia="Arial" w:hAnsi="Arial"/>
          <w:b w:val="false"/>
          <w:bCs w:val="false"/>
          <w:color w:val="000000"/>
          <w:sz w:val="20"/>
          <w:szCs w:val="20"/>
        </w:rPr>
        <w:t xml:space="preserve">Action: Identified all days in March 2025 for which FAL2_A recorded at least one reading below 0 °C (17, 18, 19, 20 March). All 192 readings from those four days were excluded. Data on 1–16 March and 21–31 March were retained, as these periods showed temperatures consistent with typical early-spring stream conditions (5–11 °C).</w:t>
      </w:r>
    </w:p>
    <w:p>
      <w:pPr>
        <w:spacing w:after="60" w:before="0"/>
      </w:pPr>
      <w:r>
        <w:t xml:space="preserve"/>
      </w:r>
    </w:p>
    <w:p>
      <w:pPr>
        <w:pStyle w:val="Heading2"/>
        <w:spacing w:after="80" w:before="200"/>
      </w:pPr>
      <w:r>
        <w:rPr>
          <w:rFonts w:ascii="Arial" w:cs="Arial" w:eastAsia="Arial" w:hAnsi="Arial"/>
          <w:b/>
          <w:bCs/>
          <w:color w:val="2E75B6"/>
          <w:sz w:val="22"/>
          <w:szCs w:val="22"/>
        </w:rPr>
        <w:t xml:space="preserve">5.5  Step 5: Site Name Standardisation</w:t>
      </w:r>
    </w:p>
    <w:p>
      <w:pPr>
        <w:spacing w:after="100" w:before="80"/>
      </w:pPr>
      <w:r>
        <w:rPr>
          <w:rFonts w:ascii="Arial" w:cs="Arial" w:eastAsia="Arial" w:hAnsi="Arial"/>
          <w:b w:val="false"/>
          <w:bCs w:val="false"/>
          <w:color w:val="000000"/>
          <w:sz w:val="20"/>
          <w:szCs w:val="20"/>
        </w:rPr>
        <w:t xml:space="preserve">Why: Logger names in the database use mixed case and include the position suffix (e.g., "Kie1_A", "Kin1_A"), which creates inconsistency when comparing across sites and does not match the clean site codes used in project reporting.</w:t>
      </w:r>
    </w:p>
    <w:p>
      <w:pPr>
        <w:spacing w:after="60" w:before="0"/>
      </w:pPr>
      <w:r>
        <w:t xml:space="preserve"/>
      </w:r>
    </w:p>
    <w:p>
      <w:pPr>
        <w:spacing w:after="100" w:before="80"/>
      </w:pPr>
      <w:r>
        <w:rPr>
          <w:rFonts w:ascii="Arial" w:cs="Arial" w:eastAsia="Arial" w:hAnsi="Arial"/>
          <w:b w:val="false"/>
          <w:bCs w:val="false"/>
          <w:color w:val="000000"/>
          <w:sz w:val="20"/>
          <w:szCs w:val="20"/>
        </w:rPr>
        <w:t xml:space="preserve">Action: Applied a lookup table mapping each Logger_name to its canonical site code:</w:t>
      </w:r>
    </w:p>
    <w:p>
      <w:pPr>
        <w:spacing w:after="60" w:before="0"/>
      </w:pPr>
      <w:r>
        <w:t xml:space="preserve"/>
      </w:r>
    </w:p>
    <w:p>
      <w:pPr>
        <w:pStyle w:val="ListParagraph"/>
        <w:numPr>
          <w:ilvl w:val="0"/>
          <w:numId w:val="2"/>
        </w:numPr>
        <w:spacing w:after="40" w:before="40"/>
      </w:pPr>
      <w:r>
        <w:rPr>
          <w:rFonts w:ascii="Arial" w:cs="Arial" w:eastAsia="Arial" w:hAnsi="Arial"/>
          <w:color w:val="000000"/>
          <w:sz w:val="20"/>
          <w:szCs w:val="20"/>
        </w:rPr>
        <w:t xml:space="preserve">Bie1_A → BIE1,  Bie2_A → BIE2</w:t>
      </w:r>
    </w:p>
    <w:p>
      <w:pPr>
        <w:pStyle w:val="ListParagraph"/>
        <w:numPr>
          <w:ilvl w:val="0"/>
          <w:numId w:val="2"/>
        </w:numPr>
        <w:spacing w:after="40" w:before="40"/>
      </w:pPr>
      <w:r>
        <w:rPr>
          <w:rFonts w:ascii="Arial" w:cs="Arial" w:eastAsia="Arial" w:hAnsi="Arial"/>
          <w:color w:val="000000"/>
          <w:sz w:val="20"/>
          <w:szCs w:val="20"/>
        </w:rPr>
        <w:t xml:space="preserve">Bra1_A → BRA1,  Bra2_A → BRA2</w:t>
      </w:r>
    </w:p>
    <w:p>
      <w:pPr>
        <w:pStyle w:val="ListParagraph"/>
        <w:numPr>
          <w:ilvl w:val="0"/>
          <w:numId w:val="2"/>
        </w:numPr>
        <w:spacing w:after="40" w:before="40"/>
      </w:pPr>
      <w:r>
        <w:rPr>
          <w:rFonts w:ascii="Arial" w:cs="Arial" w:eastAsia="Arial" w:hAnsi="Arial"/>
          <w:color w:val="000000"/>
          <w:sz w:val="20"/>
          <w:szCs w:val="20"/>
        </w:rPr>
        <w:t xml:space="preserve">Fal1_A → FAL1,  Fal2_A → FAL2</w:t>
      </w:r>
    </w:p>
    <w:p>
      <w:pPr>
        <w:pStyle w:val="ListParagraph"/>
        <w:numPr>
          <w:ilvl w:val="0"/>
          <w:numId w:val="2"/>
        </w:numPr>
        <w:spacing w:after="40" w:before="40"/>
      </w:pPr>
      <w:r>
        <w:rPr>
          <w:rFonts w:ascii="Arial" w:cs="Arial" w:eastAsia="Arial" w:hAnsi="Arial"/>
          <w:color w:val="000000"/>
          <w:sz w:val="20"/>
          <w:szCs w:val="20"/>
        </w:rPr>
        <w:t xml:space="preserve">Gru1_A → GRU1,  Gru2_A → GRU2</w:t>
      </w:r>
    </w:p>
    <w:p>
      <w:pPr>
        <w:pStyle w:val="ListParagraph"/>
        <w:numPr>
          <w:ilvl w:val="0"/>
          <w:numId w:val="2"/>
        </w:numPr>
        <w:spacing w:after="40" w:before="40"/>
      </w:pPr>
      <w:r>
        <w:rPr>
          <w:rFonts w:ascii="Arial" w:cs="Arial" w:eastAsia="Arial" w:hAnsi="Arial"/>
          <w:color w:val="000000"/>
          <w:sz w:val="20"/>
          <w:szCs w:val="20"/>
        </w:rPr>
        <w:t xml:space="preserve">Kin1_A → KIN1, Kin2_A → KIN2, Kin3_A → KIN3, Kin4_A → KIN4</w:t>
      </w:r>
    </w:p>
    <w:p>
      <w:pPr>
        <w:pStyle w:val="ListParagraph"/>
        <w:numPr>
          <w:ilvl w:val="0"/>
          <w:numId w:val="2"/>
        </w:numPr>
        <w:spacing w:after="40" w:before="40"/>
      </w:pPr>
      <w:r>
        <w:rPr>
          <w:rFonts w:ascii="Arial" w:cs="Arial" w:eastAsia="Arial" w:hAnsi="Arial"/>
          <w:color w:val="000000"/>
          <w:sz w:val="20"/>
          <w:szCs w:val="20"/>
        </w:rPr>
        <w:t xml:space="preserve">Kli_A → KLI</w:t>
      </w:r>
    </w:p>
    <w:p>
      <w:pPr>
        <w:pStyle w:val="ListParagraph"/>
        <w:numPr>
          <w:ilvl w:val="0"/>
          <w:numId w:val="2"/>
        </w:numPr>
        <w:spacing w:after="40" w:before="40"/>
      </w:pPr>
      <w:r>
        <w:rPr>
          <w:rFonts w:ascii="Arial" w:cs="Arial" w:eastAsia="Arial" w:hAnsi="Arial"/>
          <w:color w:val="000000"/>
          <w:sz w:val="20"/>
          <w:szCs w:val="20"/>
        </w:rPr>
        <w:t xml:space="preserve">Kre1_A → KRE1,  Kre2_A → KRE2</w:t>
      </w:r>
    </w:p>
    <w:p>
      <w:pPr>
        <w:pStyle w:val="ListParagraph"/>
        <w:numPr>
          <w:ilvl w:val="0"/>
          <w:numId w:val="2"/>
        </w:numPr>
        <w:spacing w:after="40" w:before="40"/>
      </w:pPr>
      <w:r>
        <w:rPr>
          <w:rFonts w:ascii="Arial" w:cs="Arial" w:eastAsia="Arial" w:hAnsi="Arial"/>
          <w:color w:val="000000"/>
          <w:sz w:val="20"/>
          <w:szCs w:val="20"/>
        </w:rPr>
        <w:t xml:space="preserve">Orb1_A → ORB1,  Orb2_A → ORB2</w:t>
      </w:r>
    </w:p>
    <w:p>
      <w:pPr>
        <w:pStyle w:val="ListParagraph"/>
        <w:numPr>
          <w:ilvl w:val="0"/>
          <w:numId w:val="2"/>
        </w:numPr>
        <w:spacing w:after="40" w:before="40"/>
      </w:pPr>
      <w:r>
        <w:rPr>
          <w:rFonts w:ascii="Arial" w:cs="Arial" w:eastAsia="Arial" w:hAnsi="Arial"/>
          <w:color w:val="000000"/>
          <w:sz w:val="20"/>
          <w:szCs w:val="20"/>
        </w:rPr>
        <w:t xml:space="preserve">Sal1_A → SAL1,  Sal2_A → SAL2</w:t>
      </w:r>
    </w:p>
    <w:p>
      <w:pPr>
        <w:pStyle w:val="ListParagraph"/>
        <w:numPr>
          <w:ilvl w:val="0"/>
          <w:numId w:val="2"/>
        </w:numPr>
        <w:spacing w:after="40" w:before="40"/>
      </w:pPr>
      <w:r>
        <w:rPr>
          <w:rFonts w:ascii="Arial" w:cs="Arial" w:eastAsia="Arial" w:hAnsi="Arial"/>
          <w:color w:val="000000"/>
          <w:sz w:val="20"/>
          <w:szCs w:val="20"/>
        </w:rPr>
        <w:t xml:space="preserve">Ste1_A → STE1,  Ste2_A → STE2</w:t>
      </w:r>
    </w:p>
    <w:p>
      <w:pPr>
        <w:spacing w:after="60" w:before="0"/>
      </w:pPr>
      <w:r>
        <w:t xml:space="preserve"/>
      </w:r>
    </w:p>
    <w:p>
      <w:pPr>
        <w:pStyle w:val="Heading2"/>
        <w:spacing w:after="80" w:before="200"/>
      </w:pPr>
      <w:r>
        <w:rPr>
          <w:rFonts w:ascii="Arial" w:cs="Arial" w:eastAsia="Arial" w:hAnsi="Arial"/>
          <w:b/>
          <w:bCs/>
          <w:color w:val="2E75B6"/>
          <w:sz w:val="22"/>
          <w:szCs w:val="22"/>
        </w:rPr>
        <w:t xml:space="preserve">5.6  Step 6: Daily and Monthly Averaging</w:t>
      </w:r>
    </w:p>
    <w:p>
      <w:pPr>
        <w:spacing w:after="100" w:before="80"/>
      </w:pPr>
      <w:r>
        <w:rPr>
          <w:rFonts w:ascii="Arial" w:cs="Arial" w:eastAsia="Arial" w:hAnsi="Arial"/>
          <w:b w:val="false"/>
          <w:bCs w:val="false"/>
          <w:color w:val="000000"/>
          <w:sz w:val="20"/>
          <w:szCs w:val="20"/>
        </w:rPr>
        <w:t xml:space="preserve">Why: Raw 30-minute readings are too granular for catchment-scale temperature comparison. Daily averages smooth sub-daily variability and are the standard reporting unit for stream temperature in ecology and hydrology.</w:t>
      </w:r>
    </w:p>
    <w:p>
      <w:pPr>
        <w:spacing w:after="60" w:before="0"/>
      </w:pPr>
      <w:r>
        <w:t xml:space="preserve"/>
      </w:r>
    </w:p>
    <w:p>
      <w:pPr>
        <w:spacing w:after="100" w:before="80"/>
      </w:pPr>
      <w:r>
        <w:rPr>
          <w:rFonts w:ascii="Arial" w:cs="Arial" w:eastAsia="Arial" w:hAnsi="Arial"/>
          <w:b w:val="false"/>
          <w:bCs w:val="false"/>
          <w:color w:val="000000"/>
          <w:sz w:val="20"/>
          <w:szCs w:val="20"/>
        </w:rPr>
        <w:t xml:space="preserve">Action: For each site and each calendar day, the arithmetic mean of all remaining valid 30-minute readings was computed. On days with fewer than 48 readings (e.g., the partial day at the start or end of a logger deployment), the average is based only on the available readings; these partial-day values are retained but noted.</w:t>
      </w:r>
    </w:p>
    <w:p>
      <w:pPr>
        <w:spacing w:after="60" w:before="0"/>
      </w:pPr>
      <w:r>
        <w:t xml:space="preserve"/>
      </w:r>
    </w:p>
    <w:p>
      <w:pPr>
        <w:spacing w:after="100" w:before="80"/>
      </w:pPr>
      <w:r>
        <w:rPr>
          <w:rFonts w:ascii="Arial" w:cs="Arial" w:eastAsia="Arial" w:hAnsi="Arial"/>
          <w:b w:val="false"/>
          <w:bCs w:val="false"/>
          <w:color w:val="000000"/>
          <w:sz w:val="20"/>
          <w:szCs w:val="20"/>
        </w:rPr>
        <w:t xml:space="preserve">Monthly averages were then computed as the mean of all valid daily averages for March 2025, weighted equally per reading (not per day), using only days for which data existed.</w:t>
      </w:r>
    </w:p>
    <w:p>
      <w:pPr>
        <w:spacing w:after="60" w:before="0"/>
      </w:pPr>
      <w:r>
        <w:t xml:space="preserve"/>
      </w:r>
    </w:p>
    <w:p>
      <w:pPr>
        <w:pStyle w:val="Heading1"/>
        <w:pBdr>
          <w:bottom w:val="single" w:color="2E75B6" w:sz="6" w:space="4"/>
        </w:pBdr>
        <w:spacing w:after="120" w:before="300"/>
      </w:pPr>
      <w:r>
        <w:rPr>
          <w:rFonts w:ascii="Arial" w:cs="Arial" w:eastAsia="Arial" w:hAnsi="Arial"/>
          <w:b/>
          <w:bCs/>
          <w:color w:val="1F4E79"/>
          <w:sz w:val="28"/>
          <w:szCs w:val="28"/>
        </w:rPr>
        <w:t xml:space="preserve">6.  Data Quality Summary</w:t>
      </w:r>
    </w:p>
    <w:p>
      <w:pPr>
        <w:spacing w:after="100" w:before="80"/>
      </w:pPr>
      <w:r>
        <w:rPr>
          <w:rFonts w:ascii="Arial" w:cs="Arial" w:eastAsia="Arial" w:hAnsi="Arial"/>
          <w:b w:val="false"/>
          <w:bCs w:val="false"/>
          <w:color w:val="000000"/>
          <w:sz w:val="20"/>
          <w:szCs w:val="20"/>
        </w:rPr>
        <w:t xml:space="preserve">The table below summarises all sites affected by data quality issues. Sites not listed had complete, valid data for the full month of March 2025.</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500"/>
        <w:gridCol w:w="1900"/>
        <w:gridCol w:w="1960"/>
      </w:tblGrid>
      <w:tr>
        <w:trPr>
          <w:tblHeader/>
        </w:trPr>
        <w:tc>
          <w:tcPr>
            <w:tcW w:type="dxa" w:w="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Site</w:t>
            </w:r>
          </w:p>
        </w:tc>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Logger</w:t>
            </w:r>
          </w:p>
        </w:tc>
        <w:tc>
          <w:tcPr>
            <w:tcW w:type="dxa" w:w="3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Issue</w:t>
            </w:r>
          </w:p>
        </w:tc>
        <w:tc>
          <w:tcPr>
            <w:tcW w:type="dxa" w:w="19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Excluded</w:t>
            </w:r>
          </w:p>
        </w:tc>
        <w:tc>
          <w:tcPr>
            <w:tcW w:type="dxa" w:w="19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Valid Range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BIE1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Bie1_A</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Logger read out on 11 Mar, not replaced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12–31 → n/a</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01–11</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FAL1</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Fal1_A</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Logger stopped measuring during read-out, 10 Mar</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11–31 → n/a</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01–10</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FAL2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Fal2_A</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Below-zero readings (down to −7 °C) on 17–20 Mar indicate logger measuring air temperature; single read-out row on 10 Mar excluded</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10 (1 row), 17–20 → n/a</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01–09, 11–16, 21–31</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KIN3</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Kin3_A</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Logger found outside waterbody at 10 Mar read-out; database rows flagged from 10 Mar onward</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10–31 → n/a</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01–09</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KIN4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Kin4_A</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Logger found outside water; all rows 1–9 Mar flagged in database</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01–09 → n/a</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10–31</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KLI</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Kli_A</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logger exposed on 11 Mar 2025 (exposition started)</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01–10 → n/a</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11–31</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KRE2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Kre2_A</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logger exposed on 10 Mar 2025; 10 Mar is a partial day (26 of 48 readings)</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01–09 → n/a</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10–31 (10 Mar partial)</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ORB2</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Orb2_A</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Logger read out on 11 Mar, not replaced; 11 Mar is partial (32 of 48 readings)</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12–31 → n/a</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01–11 (11 Mar partial)</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SAL2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Sal2_A</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Memory shutdown: logger stopped on 27 Mar 2025</w:t>
            </w:r>
          </w:p>
        </w:tc>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28–31 → n/a</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01–27</w:t>
            </w:r>
          </w:p>
        </w:tc>
      </w:tr>
      <w:tr>
        <w:tc>
          <w:tcPr>
            <w:tcW w:type="dxa" w:w="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GRU1</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Gru1_A</w:t>
            </w:r>
          </w:p>
        </w:tc>
        <w:tc>
          <w:tcPr>
            <w:tcW w:type="dxa" w:w="3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Exact duplicate rows found in database (each timestamp entered twice)</w:t>
            </w:r>
          </w:p>
        </w:tc>
        <w:tc>
          <w:tcPr>
            <w:tcW w:type="dxa" w:w="1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Corrected (deduplication)</w:t>
            </w:r>
          </w:p>
        </w:tc>
        <w:tc>
          <w:tcPr>
            <w:tcW w:type="dxa" w:w="1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 01–31 (full)</w:t>
            </w:r>
          </w:p>
        </w:tc>
      </w:tr>
    </w:tbl>
    <w:p>
      <w:pPr>
        <w:spacing w:after="60" w:before="0"/>
      </w:pPr>
      <w:r>
        <w:t xml:space="preserve"/>
      </w:r>
    </w:p>
    <w:p>
      <w:pPr>
        <w:pStyle w:val="Heading1"/>
        <w:pBdr>
          <w:bottom w:val="single" w:color="2E75B6" w:sz="6" w:space="4"/>
        </w:pBdr>
        <w:spacing w:after="120" w:before="300"/>
      </w:pPr>
      <w:r>
        <w:rPr>
          <w:rFonts w:ascii="Arial" w:cs="Arial" w:eastAsia="Arial" w:hAnsi="Arial"/>
          <w:b/>
          <w:bCs/>
          <w:color w:val="1F4E79"/>
          <w:sz w:val="28"/>
          <w:szCs w:val="28"/>
        </w:rPr>
        <w:t xml:space="preserve">7.  Output</w:t>
      </w:r>
    </w:p>
    <w:p>
      <w:pPr>
        <w:spacing w:after="100" w:before="80"/>
      </w:pPr>
      <w:r>
        <w:rPr>
          <w:rFonts w:ascii="Arial" w:cs="Arial" w:eastAsia="Arial" w:hAnsi="Arial"/>
          <w:b w:val="false"/>
          <w:bCs w:val="false"/>
          <w:color w:val="000000"/>
          <w:sz w:val="20"/>
          <w:szCs w:val="20"/>
        </w:rPr>
        <w:t xml:space="preserve">Two output files were produced:</w:t>
      </w:r>
    </w:p>
    <w:p>
      <w:pPr>
        <w:spacing w:after="60" w:before="0"/>
      </w:pPr>
      <w:r>
        <w:t xml:space="preserve"/>
      </w:r>
    </w:p>
    <w:p>
      <w:pPr>
        <w:pStyle w:val="Heading2"/>
        <w:spacing w:after="80" w:before="200"/>
      </w:pPr>
      <w:r>
        <w:rPr>
          <w:rFonts w:ascii="Arial" w:cs="Arial" w:eastAsia="Arial" w:hAnsi="Arial"/>
          <w:b/>
          <w:bCs/>
          <w:color w:val="2E75B6"/>
          <w:sz w:val="22"/>
          <w:szCs w:val="22"/>
        </w:rPr>
        <w:t xml:space="preserve">7.1  Daily Average Temperature Spreadsheet</w:t>
      </w:r>
    </w:p>
    <w:p>
      <w:pPr>
        <w:spacing w:after="80" w:before="0"/>
      </w:pPr>
      <w:r>
        <w:rPr>
          <w:rFonts w:ascii="Courier New" w:cs="Courier New" w:eastAsia="Courier New" w:hAnsi="Courier New"/>
          <w:color w:val="1F4E79"/>
          <w:sz w:val="18"/>
          <w:szCs w:val="18"/>
        </w:rPr>
        <w:t xml:space="preserve">Kinzig_March2025_DailyAvgTemp.xlsx</w:t>
      </w:r>
    </w:p>
    <w:p>
      <w:pPr>
        <w:spacing w:after="100" w:before="80"/>
      </w:pPr>
      <w:r>
        <w:rPr>
          <w:rFonts w:ascii="Arial" w:cs="Arial" w:eastAsia="Arial" w:hAnsi="Arial"/>
          <w:b w:val="false"/>
          <w:bCs w:val="false"/>
          <w:color w:val="000000"/>
          <w:sz w:val="20"/>
          <w:szCs w:val="20"/>
        </w:rPr>
        <w:t xml:space="preserve">Contains two sheets:</w:t>
      </w:r>
    </w:p>
    <w:p>
      <w:pPr>
        <w:pStyle w:val="ListParagraph"/>
        <w:numPr>
          <w:ilvl w:val="0"/>
          <w:numId w:val="2"/>
        </w:numPr>
        <w:spacing w:after="40" w:before="40"/>
      </w:pPr>
      <w:r>
        <w:rPr>
          <w:rFonts w:ascii="Arial" w:cs="Arial" w:eastAsia="Arial" w:hAnsi="Arial"/>
          <w:color w:val="000000"/>
          <w:sz w:val="20"/>
          <w:szCs w:val="20"/>
        </w:rPr>
        <w:t xml:space="preserve">Daily Avg Temp (°C): a 31-row × 21-column table with one row per calendar day (01–31 March 2025) and one column per site. Cells show the daily average temperature rounded to 2 decimal places. Missing or excluded days are shown as "n/a". Sites with data quality issues have an orange column header. Monthly mean, minimum, and maximum statistics are appended below the daily data.</w:t>
      </w:r>
    </w:p>
    <w:p>
      <w:pPr>
        <w:pStyle w:val="ListParagraph"/>
        <w:numPr>
          <w:ilvl w:val="0"/>
          <w:numId w:val="2"/>
        </w:numPr>
        <w:spacing w:after="40" w:before="40"/>
      </w:pPr>
      <w:r>
        <w:rPr>
          <w:rFonts w:ascii="Arial" w:cs="Arial" w:eastAsia="Arial" w:hAnsi="Arial"/>
          <w:color w:val="000000"/>
          <w:sz w:val="20"/>
          <w:szCs w:val="20"/>
        </w:rPr>
        <w:t xml:space="preserve">Data Notes: a full description of each data quality issue, the affected days, the valid data range, and the corrective action taken.</w:t>
      </w:r>
    </w:p>
    <w:p>
      <w:pPr>
        <w:spacing w:after="60" w:before="0"/>
      </w:pPr>
      <w:r>
        <w:t xml:space="preserve"/>
      </w:r>
    </w:p>
    <w:p>
      <w:pPr>
        <w:pStyle w:val="Heading2"/>
        <w:spacing w:after="80" w:before="200"/>
      </w:pPr>
      <w:r>
        <w:rPr>
          <w:rFonts w:ascii="Arial" w:cs="Arial" w:eastAsia="Arial" w:hAnsi="Arial"/>
          <w:b/>
          <w:bCs/>
          <w:color w:val="2E75B6"/>
          <w:sz w:val="22"/>
          <w:szCs w:val="22"/>
        </w:rPr>
        <w:t xml:space="preserve">7.2  Monthly Summary Spreadsheet</w:t>
      </w:r>
    </w:p>
    <w:p>
      <w:pPr>
        <w:spacing w:after="80" w:before="0"/>
      </w:pPr>
      <w:r>
        <w:rPr>
          <w:rFonts w:ascii="Courier New" w:cs="Courier New" w:eastAsia="Courier New" w:hAnsi="Courier New"/>
          <w:color w:val="1F4E79"/>
          <w:sz w:val="18"/>
          <w:szCs w:val="18"/>
        </w:rPr>
        <w:t xml:space="preserve">Kinzig_March2025_Summary.xlsx</w:t>
      </w:r>
    </w:p>
    <w:p>
      <w:pPr>
        <w:spacing w:after="100" w:before="80"/>
      </w:pPr>
      <w:r>
        <w:rPr>
          <w:rFonts w:ascii="Arial" w:cs="Arial" w:eastAsia="Arial" w:hAnsi="Arial"/>
          <w:b w:val="false"/>
          <w:bCs w:val="false"/>
          <w:color w:val="000000"/>
          <w:sz w:val="20"/>
          <w:szCs w:val="20"/>
        </w:rPr>
        <w:t xml:space="preserve">A concise three-column summary table of monthly average temperatures for all 21 sites:</w:t>
      </w:r>
    </w:p>
    <w:p>
      <w:pPr>
        <w:spacing w:after="60" w:before="0"/>
      </w:pPr>
      <w:r>
        <w:t xml:space="preserve"/>
      </w:r>
    </w:p>
    <w:tbl>
      <w:tblPr>
        <w:tblpPr w:horzAnchor="margin" w:tblpXSpec="cente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tblGrid>
      <w:tr>
        <w:trPr>
          <w:tblHeader/>
        </w:trPr>
        <w:tc>
          <w:tcPr>
            <w:tcW w:type="dxa" w:w="1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Site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Catchment</w:t>
            </w:r>
          </w:p>
        </w:tc>
        <w:tc>
          <w:tcPr>
            <w:tcW w:type="dxa" w:w="2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Temp (°C)</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BIE1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5.91</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BIE2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6.87</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BRA1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6.98</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BRA2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6.94</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FAL1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7.19</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FAL2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7.91</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GRU1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6.57</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GRU2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7.40</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KIN1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6.47</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KIN2</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7.16</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KIN3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KIN4</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8.17</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KLI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8.25</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KRE1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7.66</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KRE2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8.42</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ORB1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7.96</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ORB2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6.98</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SAL1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6.33</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SAL2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6.15</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STE1</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6.88</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STE2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Kinzig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6.92</w:t>
            </w:r>
          </w:p>
        </w:tc>
      </w:tr>
    </w:tbl>
    <w:p>
      <w:pPr>
        <w:spacing w:after="60" w:before="0"/>
      </w:pPr>
      <w:r>
        <w:t xml:space="preserve"/>
      </w:r>
    </w:p>
    <w:p>
      <w:pPr>
        <w:spacing w:after="60" w:before="0"/>
      </w:pPr>
      <w:r>
        <w:t xml:space="preserve"/>
      </w:r>
    </w:p>
    <w:p>
      <w:pPr>
        <w:pStyle w:val="Heading1"/>
        <w:pBdr>
          <w:bottom w:val="single" w:color="2E75B6" w:sz="6" w:space="4"/>
        </w:pBdr>
        <w:spacing w:after="120" w:before="300"/>
      </w:pPr>
      <w:r>
        <w:rPr>
          <w:rFonts w:ascii="Arial" w:cs="Arial" w:eastAsia="Arial" w:hAnsi="Arial"/>
          <w:b/>
          <w:bCs/>
          <w:color w:val="1F4E79"/>
          <w:sz w:val="28"/>
          <w:szCs w:val="28"/>
        </w:rPr>
        <w:t xml:space="preserve">8.  Limitations and Notes</w:t>
      </w:r>
    </w:p>
    <w:p>
      <w:pPr>
        <w:pStyle w:val="ListParagraph"/>
        <w:numPr>
          <w:ilvl w:val="0"/>
          <w:numId w:val="2"/>
        </w:numPr>
        <w:spacing w:after="40" w:before="40"/>
      </w:pPr>
      <w:r>
        <w:rPr>
          <w:rFonts w:ascii="Arial" w:cs="Arial" w:eastAsia="Arial" w:hAnsi="Arial"/>
          <w:color w:val="000000"/>
          <w:sz w:val="20"/>
          <w:szCs w:val="20"/>
        </w:rPr>
        <w:t xml:space="preserve">Partial-day averages: BIE1 (Mar 11), ORB2 (Mar 11), KRE2 (Mar 10), and FAL1 (Mar 10) each have one day with fewer than 48 readings due to logger deployment or removal timing. These partial-day averages are included but may slightly bias the daily value for those days.</w:t>
      </w:r>
    </w:p>
    <w:p>
      <w:pPr>
        <w:pStyle w:val="ListParagraph"/>
        <w:numPr>
          <w:ilvl w:val="0"/>
          <w:numId w:val="2"/>
        </w:numPr>
        <w:spacing w:after="40" w:before="40"/>
      </w:pPr>
      <w:r>
        <w:rPr>
          <w:rFonts w:ascii="Arial" w:cs="Arial" w:eastAsia="Arial" w:hAnsi="Arial"/>
          <w:color w:val="000000"/>
          <w:sz w:val="20"/>
          <w:szCs w:val="20"/>
        </w:rPr>
        <w:t xml:space="preserve">KIN3 and FAL2 monthly averages are based on fewer valid days than other sites (9 and 24 valid days respectively) and should be interpreted with caution in comparative analyses.</w:t>
      </w:r>
    </w:p>
    <w:p>
      <w:pPr>
        <w:pStyle w:val="ListParagraph"/>
        <w:numPr>
          <w:ilvl w:val="0"/>
          <w:numId w:val="2"/>
        </w:numPr>
        <w:spacing w:after="40" w:before="40"/>
      </w:pPr>
      <w:r>
        <w:rPr>
          <w:rFonts w:ascii="Arial" w:cs="Arial" w:eastAsia="Arial" w:hAnsi="Arial"/>
          <w:color w:val="000000"/>
          <w:sz w:val="20"/>
          <w:szCs w:val="20"/>
        </w:rPr>
        <w:t xml:space="preserve">KLI has no entry in the locality sheet of the database. The stream name "Klinge" is inferred from the site code and project context; coordinates are not yet recorded.</w:t>
      </w:r>
    </w:p>
    <w:p>
      <w:pPr>
        <w:pStyle w:val="ListParagraph"/>
        <w:numPr>
          <w:ilvl w:val="0"/>
          <w:numId w:val="2"/>
        </w:numPr>
        <w:spacing w:after="40" w:before="40"/>
      </w:pPr>
      <w:r>
        <w:rPr>
          <w:rFonts w:ascii="Arial" w:cs="Arial" w:eastAsia="Arial" w:hAnsi="Arial"/>
          <w:color w:val="000000"/>
          <w:sz w:val="20"/>
          <w:szCs w:val="20"/>
        </w:rPr>
        <w:t xml:space="preserve">All times in the database are UTC+1 (Central European Time, no summer-time shift). The 30-minute sampling interval was confirmed from the raw timestamps.</w:t>
      </w:r>
    </w:p>
    <w:p>
      <w:pPr>
        <w:spacing w:after="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1F4E79"/>
        <w:sz w:val="18"/>
        <w:szCs w:val="18"/>
      </w:rPr>
      <w:t xml:space="preserve">Kinzig Catchment – Water Temperature Data Cleaning Report</w:t>
    </w:r>
    <w:r>
      <w:rPr>
        <w:rFonts w:ascii="Arial" w:cs="Arial" w:eastAsia="Arial" w:hAnsi="Arial"/>
        <w:color w:val="595959"/>
        <w:sz w:val="18"/>
        <w:szCs w:val="18"/>
      </w:rPr>
      <w:t xml:space="preserve">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2026-03-18T13:08:26.138Z</dcterms:created>
  <dcterms:modified xsi:type="dcterms:W3CDTF">2026-03-18T13:08:26.138Z</dcterms:modified>
</cp:coreProperties>
</file>

<file path=docProps/custom.xml><?xml version="1.0" encoding="utf-8"?>
<Properties xmlns="http://schemas.openxmlformats.org/officeDocument/2006/custom-properties" xmlns:vt="http://schemas.openxmlformats.org/officeDocument/2006/docPropsVTypes"/>
</file>