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F497D"/>
          <w:sz w:val="36"/>
        </w:rPr>
        <w:t>Data Cleaning and Preprocessing Report</w:t>
      </w:r>
    </w:p>
    <w:p>
      <w:pPr>
        <w:spacing w:after="320"/>
        <w:jc w:val="center"/>
      </w:pPr>
      <w:r>
        <w:rPr>
          <w:rFonts w:ascii="Arial" w:hAnsi="Arial"/>
          <w:i/>
          <w:color w:val="404040"/>
          <w:sz w:val="24"/>
        </w:rPr>
        <w:t>SFB Field Studies — Substrate Estimation, Boye Catchment (2025)</w:t>
      </w:r>
    </w:p>
    <w:p>
      <w:pPr>
        <w:spacing w:after="40"/>
      </w:pPr>
    </w:p>
    <w:p>
      <w:pPr>
        <w:pStyle w:val="Heading1"/>
        <w:spacing w:before="240" w:after="80"/>
      </w:pPr>
      <w:r>
        <w:rPr>
          <w:rFonts w:ascii="Arial" w:hAnsi="Arial"/>
          <w:b/>
          <w:color w:val="2E74B5"/>
          <w:sz w:val="28"/>
        </w:rPr>
        <w:t>1. Background</w:t>
      </w:r>
    </w:p>
    <w:p>
      <w:pPr>
        <w:spacing w:after="120"/>
      </w:pPr>
      <w:r>
        <w:rPr>
          <w:rFonts w:ascii="Arial" w:hAnsi="Arial"/>
          <w:i w:val="0"/>
          <w:sz w:val="22"/>
        </w:rPr>
        <w:t>This report documents the data cleaning and preprocessing steps applied to the substrate estimation dataset collected at the Boye catchment during the 2025 field campaign. The data form part of the SFB (Sonderforschungsbereich) Field Studies programme and record the percentage share of different substrate types at each sampling site. Substrate classification follows the standard AQEM/STAR typology used in European stream assessment.</w:t>
      </w:r>
    </w:p>
    <w:p>
      <w:pPr>
        <w:pStyle w:val="Heading1"/>
        <w:spacing w:before="240" w:after="80"/>
      </w:pPr>
      <w:r>
        <w:rPr>
          <w:rFonts w:ascii="Arial" w:hAnsi="Arial"/>
          <w:b/>
          <w:color w:val="2E74B5"/>
          <w:sz w:val="28"/>
        </w:rPr>
        <w:t>2. Source Data</w:t>
      </w:r>
    </w:p>
    <w:p>
      <w:pPr>
        <w:spacing w:after="120"/>
      </w:pPr>
      <w:r>
        <w:rPr>
          <w:rFonts w:ascii="Arial" w:hAnsi="Arial"/>
          <w:i w:val="0"/>
          <w:sz w:val="22"/>
        </w:rPr>
        <w:t>File: SFB_FieldStudies_SubstrateEstimation_Boye_2026-01-22 (inkl. sampling data 2025).xlsx</w:t>
      </w:r>
    </w:p>
    <w:p>
      <w:pPr>
        <w:spacing w:after="120"/>
      </w:pPr>
      <w:r>
        <w:rPr>
          <w:rFonts w:ascii="Arial" w:hAnsi="Arial"/>
          <w:i w:val="0"/>
          <w:sz w:val="22"/>
        </w:rPr>
        <w:t>Sheet used: year 2025</w:t>
      </w:r>
    </w:p>
    <w:p>
      <w:pPr>
        <w:spacing w:after="120"/>
      </w:pPr>
      <w:r>
        <w:rPr>
          <w:rFonts w:ascii="Arial" w:hAnsi="Arial"/>
          <w:i w:val="0"/>
          <w:sz w:val="22"/>
        </w:rPr>
        <w:t>23 sampling sites were recorded between 17 and 21 March 2025. One site (B_VORmi) was not sampled during this campaign.</w:t>
      </w:r>
    </w:p>
    <w:p>
      <w:pPr>
        <w:pStyle w:val="Heading1"/>
        <w:spacing w:before="240" w:after="80"/>
      </w:pPr>
      <w:r>
        <w:rPr>
          <w:rFonts w:ascii="Arial" w:hAnsi="Arial"/>
          <w:b/>
          <w:color w:val="2E74B5"/>
          <w:sz w:val="28"/>
        </w:rPr>
        <w:t>3. What Was Done</w:t>
      </w:r>
    </w:p>
    <w:p>
      <w:pPr>
        <w:spacing w:after="120"/>
      </w:pPr>
      <w:r>
        <w:rPr>
          <w:rFonts w:ascii="Arial" w:hAnsi="Arial"/>
          <w:i w:val="0"/>
          <w:sz w:val="22"/>
        </w:rPr>
        <w:t>The following cleaning steps were applied sequentially in R:</w:t>
      </w:r>
    </w:p>
    <w:p>
      <w:pPr>
        <w:pStyle w:val="ListBullet"/>
        <w:spacing w:after="60"/>
      </w:pPr>
      <w:r>
        <w:rPr>
          <w:rFonts w:ascii="Arial" w:hAnsi="Arial"/>
          <w:sz w:val="22"/>
        </w:rPr>
        <w:t>Loaded the raw sheet without automatic header parsing to preserve the two-row header structure.</w:t>
      </w:r>
    </w:p>
    <w:p>
      <w:pPr>
        <w:pStyle w:val="ListBullet"/>
        <w:spacing w:after="60"/>
      </w:pPr>
      <w:r>
        <w:rPr>
          <w:rFonts w:ascii="Arial" w:hAnsi="Arial"/>
          <w:sz w:val="22"/>
        </w:rPr>
        <w:t>Removed fully empty rows and columns (Excel formatting artefacts).</w:t>
      </w:r>
    </w:p>
    <w:p>
      <w:pPr>
        <w:pStyle w:val="ListBullet"/>
        <w:spacing w:after="60"/>
      </w:pPr>
      <w:r>
        <w:rPr>
          <w:rFonts w:ascii="Arial" w:hAnsi="Arial"/>
          <w:sz w:val="22"/>
        </w:rPr>
        <w:t>Constructed column names by combining the two header rows: row 2 (substrate labels) was used as the primary source; row 1 filled gaps for columns whose label appeared only in the group header row (sites, sum).</w:t>
      </w:r>
    </w:p>
    <w:p>
      <w:pPr>
        <w:pStyle w:val="ListBullet"/>
        <w:spacing w:after="60"/>
      </w:pPr>
      <w:r>
        <w:rPr>
          <w:rFonts w:ascii="Arial" w:hAnsi="Arial"/>
          <w:sz w:val="22"/>
        </w:rPr>
        <w:t>Stripped the metadata legend row ("x = share below 5%") present at the bottom of the sheet.</w:t>
      </w:r>
    </w:p>
    <w:p>
      <w:pPr>
        <w:pStyle w:val="ListBullet"/>
        <w:spacing w:after="60"/>
      </w:pPr>
      <w:r>
        <w:rPr>
          <w:rFonts w:ascii="Arial" w:hAnsi="Arial"/>
          <w:sz w:val="22"/>
        </w:rPr>
        <w:t>Removed free-text annotation columns: notes on habitats and notes on biology.</w:t>
      </w:r>
    </w:p>
    <w:p>
      <w:pPr>
        <w:pStyle w:val="ListBullet"/>
        <w:spacing w:after="60"/>
      </w:pPr>
      <w:r>
        <w:rPr>
          <w:rFonts w:ascii="Arial" w:hAnsi="Arial"/>
          <w:sz w:val="22"/>
        </w:rPr>
        <w:t>Removed six substrate variables not required for the analysis: mega, arg, tech_2, algae, sapro, debris.</w:t>
      </w:r>
    </w:p>
    <w:p>
      <w:pPr>
        <w:pStyle w:val="ListBullet"/>
        <w:spacing w:after="60"/>
      </w:pPr>
      <w:r>
        <w:rPr>
          <w:rFonts w:ascii="Arial" w:hAnsi="Arial"/>
          <w:sz w:val="22"/>
        </w:rPr>
        <w:t>Replaced the "x" notation (indicating a substrate share below 5%) with 0 for all sampled sites.</w:t>
      </w:r>
    </w:p>
    <w:p>
      <w:pPr>
        <w:pStyle w:val="ListBullet"/>
        <w:spacing w:after="60"/>
      </w:pPr>
      <w:r>
        <w:rPr>
          <w:rFonts w:ascii="Arial" w:hAnsi="Arial"/>
          <w:sz w:val="22"/>
        </w:rPr>
        <w:t>Set all substrate values for the unsampled site B_VORmi to NA.</w:t>
      </w:r>
    </w:p>
    <w:p>
      <w:pPr>
        <w:pStyle w:val="ListBullet"/>
        <w:spacing w:after="60"/>
      </w:pPr>
      <w:r>
        <w:rPr>
          <w:rFonts w:ascii="Arial" w:hAnsi="Arial"/>
          <w:sz w:val="22"/>
        </w:rPr>
        <w:t>Converted remaining empty cells in sampled rows to 0 (substrate absent).</w:t>
      </w:r>
    </w:p>
    <w:p>
      <w:pPr>
        <w:pStyle w:val="ListBullet"/>
        <w:spacing w:after="60"/>
      </w:pPr>
      <w:r>
        <w:rPr>
          <w:rFonts w:ascii="Arial" w:hAnsi="Arial"/>
          <w:sz w:val="22"/>
        </w:rPr>
        <w:t>Parsed the date column from Excel serial numbers to proper R Date objects.</w:t>
      </w:r>
    </w:p>
    <w:p>
      <w:pPr>
        <w:pStyle w:val="Heading1"/>
        <w:spacing w:before="240" w:after="80"/>
      </w:pPr>
      <w:r>
        <w:rPr>
          <w:rFonts w:ascii="Arial" w:hAnsi="Arial"/>
          <w:b/>
          <w:color w:val="2E74B5"/>
          <w:sz w:val="28"/>
        </w:rPr>
        <w:t>4. Why These Steps Were Taken</w:t>
      </w:r>
    </w:p>
    <w:p>
      <w:pPr>
        <w:spacing w:after="120"/>
      </w:pPr>
      <w:r>
        <w:rPr>
          <w:rFonts w:ascii="Arial" w:hAnsi="Arial"/>
          <w:i w:val="0"/>
          <w:sz w:val="22"/>
        </w:rPr>
        <w:t>Each decision was guided by the need to produce a clean, analysis-ready dataset that accurately reflects the ecological measurements.</w:t>
      </w:r>
    </w:p>
    <w:p>
      <w:pPr>
        <w:pStyle w:val="Heading2"/>
        <w:spacing w:before="240" w:after="80"/>
      </w:pPr>
      <w:r>
        <w:rPr>
          <w:rFonts w:ascii="Arial" w:hAnsi="Arial"/>
          <w:b/>
          <w:color w:val="1F497D"/>
          <w:sz w:val="24"/>
        </w:rPr>
        <w:t>"x" values treated as 0</w:t>
      </w:r>
    </w:p>
    <w:p>
      <w:pPr>
        <w:spacing w:after="120"/>
      </w:pPr>
      <w:r>
        <w:rPr>
          <w:rFonts w:ascii="Arial" w:hAnsi="Arial"/>
          <w:i w:val="0"/>
          <w:sz w:val="22"/>
        </w:rPr>
        <w:t>The "x" notation confirms that the substrate was observed and measured, but its share was below the 5% recording threshold. Treating it as 0 retains the information that the substrate is effectively negligible at that site, without discarding the measurement. Using NA instead would wrongly imply the substrate was not assessed.</w:t>
      </w:r>
    </w:p>
    <w:p>
      <w:pPr>
        <w:pStyle w:val="Heading2"/>
        <w:spacing w:before="240" w:after="80"/>
      </w:pPr>
      <w:r>
        <w:rPr>
          <w:rFonts w:ascii="Arial" w:hAnsi="Arial"/>
          <w:b/>
          <w:color w:val="1F497D"/>
          <w:sz w:val="24"/>
        </w:rPr>
        <w:t>Unsampled site treated as NA</w:t>
      </w:r>
    </w:p>
    <w:p>
      <w:pPr>
        <w:spacing w:after="120"/>
      </w:pPr>
      <w:r>
        <w:rPr>
          <w:rFonts w:ascii="Arial" w:hAnsi="Arial"/>
          <w:i w:val="0"/>
          <w:sz w:val="22"/>
        </w:rPr>
        <w:t>B_VORmi was not visited during the 2025 campaign. Assigning NA preserves the site in the dataset for reference while correctly flagging that no measurements exist. R functions such as mean() and sum() exclude NA values by default, preventing the unsampled site from distorting any downstream analysis.</w:t>
      </w:r>
    </w:p>
    <w:p>
      <w:pPr>
        <w:pStyle w:val="Heading2"/>
        <w:spacing w:before="240" w:after="80"/>
      </w:pPr>
      <w:r>
        <w:rPr>
          <w:rFonts w:ascii="Arial" w:hAnsi="Arial"/>
          <w:b/>
          <w:color w:val="1F497D"/>
          <w:sz w:val="24"/>
        </w:rPr>
        <w:t>Removed substrate variables</w:t>
      </w:r>
    </w:p>
    <w:p>
      <w:pPr>
        <w:spacing w:after="120"/>
      </w:pPr>
      <w:r>
        <w:rPr>
          <w:rFonts w:ascii="Arial" w:hAnsi="Arial"/>
          <w:i w:val="0"/>
          <w:sz w:val="22"/>
        </w:rPr>
        <w:t>The six removed variables (mega, arg, tech_2, algae, sapro, debris) were either absent from all sampled sites in this year or are outside the scope of the current analysis. Removing them reduces dimensionality and avoids zero-inflation artefacts.</w:t>
      </w:r>
    </w:p>
    <w:p>
      <w:pPr>
        <w:pStyle w:val="Heading2"/>
        <w:spacing w:before="240" w:after="80"/>
      </w:pPr>
      <w:r>
        <w:rPr>
          <w:rFonts w:ascii="Arial" w:hAnsi="Arial"/>
          <w:b/>
          <w:color w:val="1F497D"/>
          <w:sz w:val="24"/>
        </w:rPr>
        <w:t>Notes columns removed</w:t>
      </w:r>
    </w:p>
    <w:p>
      <w:pPr>
        <w:spacing w:after="120"/>
      </w:pPr>
      <w:r>
        <w:rPr>
          <w:rFonts w:ascii="Arial" w:hAnsi="Arial"/>
          <w:i w:val="0"/>
          <w:sz w:val="22"/>
        </w:rPr>
        <w:t>The free-text columns contain qualitative field observations written in German. They are not suitable for quantitative analysis and their inclusion would complicate data type handling in R. They are retained in the original Excel file for reference.</w:t>
      </w:r>
    </w:p>
    <w:p>
      <w:pPr>
        <w:pStyle w:val="Heading1"/>
        <w:spacing w:before="240" w:after="80"/>
      </w:pPr>
      <w:r>
        <w:rPr>
          <w:rFonts w:ascii="Arial" w:hAnsi="Arial"/>
          <w:b/>
          <w:color w:val="2E74B5"/>
          <w:sz w:val="28"/>
        </w:rPr>
        <w:t>5. Variable Metadata</w:t>
      </w:r>
    </w:p>
    <w:p>
      <w:pPr>
        <w:spacing w:after="120"/>
      </w:pPr>
      <w:r>
        <w:rPr>
          <w:rFonts w:ascii="Arial" w:hAnsi="Arial"/>
          <w:i w:val="0"/>
          <w:sz w:val="22"/>
        </w:rPr>
        <w:t>The table below describes every variable retained in the cleaned dataset.</w:t>
      </w:r>
    </w:p>
    <w:p>
      <w:pPr>
        <w:spacing w:after="80"/>
      </w:pP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1701"/>
            <w:shd w:val="clear" w:color="auto" w:fill="1F497D"/>
            <w:vAlign w:val="center"/>
          </w:tcPr>
          <w:p>
            <w:pPr>
              <w:jc w:val="center"/>
            </w:pPr>
            <w:r>
              <w:rPr>
                <w:rFonts w:ascii="Arial" w:hAnsi="Arial"/>
                <w:b/>
                <w:color w:val="FFFFFF"/>
                <w:sz w:val="20"/>
              </w:rPr>
              <w:t>Variable</w:t>
            </w:r>
          </w:p>
        </w:tc>
        <w:tc>
          <w:tcPr>
            <w:tcW w:type="dxa" w:w="1134"/>
            <w:shd w:val="clear" w:color="auto" w:fill="1F497D"/>
            <w:vAlign w:val="center"/>
          </w:tcPr>
          <w:p>
            <w:pPr>
              <w:jc w:val="center"/>
            </w:pPr>
            <w:r>
              <w:rPr>
                <w:rFonts w:ascii="Arial" w:hAnsi="Arial"/>
                <w:b/>
                <w:color w:val="FFFFFF"/>
                <w:sz w:val="20"/>
              </w:rPr>
              <w:t>Type</w:t>
            </w:r>
          </w:p>
        </w:tc>
        <w:tc>
          <w:tcPr>
            <w:tcW w:type="dxa" w:w="1020"/>
            <w:shd w:val="clear" w:color="auto" w:fill="1F497D"/>
            <w:vAlign w:val="center"/>
          </w:tcPr>
          <w:p>
            <w:pPr>
              <w:jc w:val="center"/>
            </w:pPr>
            <w:r>
              <w:rPr>
                <w:rFonts w:ascii="Arial" w:hAnsi="Arial"/>
                <w:b/>
                <w:color w:val="FFFFFF"/>
                <w:sz w:val="20"/>
              </w:rPr>
              <w:t>Unit</w:t>
            </w:r>
          </w:p>
        </w:tc>
        <w:tc>
          <w:tcPr>
            <w:tcW w:type="dxa" w:w="1814"/>
            <w:shd w:val="clear" w:color="auto" w:fill="1F497D"/>
            <w:vAlign w:val="center"/>
          </w:tcPr>
          <w:p>
            <w:pPr>
              <w:jc w:val="center"/>
            </w:pPr>
            <w:r>
              <w:rPr>
                <w:rFonts w:ascii="Arial" w:hAnsi="Arial"/>
                <w:b/>
                <w:color w:val="FFFFFF"/>
                <w:sz w:val="20"/>
              </w:rPr>
              <w:t>Substrate class</w:t>
            </w:r>
          </w:p>
        </w:tc>
        <w:tc>
          <w:tcPr>
            <w:tcW w:type="dxa" w:w="3402"/>
            <w:shd w:val="clear" w:color="auto" w:fill="1F497D"/>
            <w:vAlign w:val="center"/>
          </w:tcPr>
          <w:p>
            <w:pPr>
              <w:jc w:val="center"/>
            </w:pPr>
            <w:r>
              <w:rPr>
                <w:rFonts w:ascii="Arial" w:hAnsi="Arial"/>
                <w:b/>
                <w:color w:val="FFFFFF"/>
                <w:sz w:val="20"/>
              </w:rPr>
              <w:t>Description</w:t>
            </w:r>
          </w:p>
        </w:tc>
      </w:tr>
      <w:tr>
        <w:tc>
          <w:tcPr>
            <w:tcW w:type="dxa" w:w="1701"/>
            <w:shd w:val="clear" w:color="auto" w:fill="EBF3FB"/>
            <w:vAlign w:val="top"/>
          </w:tcPr>
          <w:p>
            <w:r>
              <w:rPr>
                <w:rFonts w:ascii="Arial" w:hAnsi="Arial"/>
                <w:b/>
                <w:color w:val="1F497D"/>
                <w:sz w:val="19"/>
              </w:rPr>
              <w:t>sites</w:t>
            </w:r>
          </w:p>
        </w:tc>
        <w:tc>
          <w:tcPr>
            <w:tcW w:type="dxa" w:w="1134"/>
            <w:shd w:val="clear" w:color="auto" w:fill="EBF3FB"/>
            <w:vAlign w:val="top"/>
          </w:tcPr>
          <w:p>
            <w:r>
              <w:rPr>
                <w:rFonts w:ascii="Arial" w:hAnsi="Arial"/>
                <w:sz w:val="19"/>
              </w:rPr>
              <w:t>character</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w:t>
            </w:r>
          </w:p>
        </w:tc>
        <w:tc>
          <w:tcPr>
            <w:tcW w:type="dxa" w:w="3402"/>
            <w:shd w:val="clear" w:color="auto" w:fill="EBF3FB"/>
            <w:vAlign w:val="top"/>
          </w:tcPr>
          <w:p>
            <w:r>
              <w:rPr>
                <w:rFonts w:ascii="Arial" w:hAnsi="Arial"/>
                <w:sz w:val="19"/>
              </w:rPr>
              <w:t>Unique site identifier code assigned within the SFB field programme.</w:t>
            </w:r>
          </w:p>
        </w:tc>
      </w:tr>
      <w:tr>
        <w:tc>
          <w:tcPr>
            <w:tcW w:type="dxa" w:w="1701"/>
            <w:shd w:val="clear" w:color="auto" w:fill="FFFFFF"/>
            <w:vAlign w:val="top"/>
          </w:tcPr>
          <w:p>
            <w:r>
              <w:rPr>
                <w:rFonts w:ascii="Arial" w:hAnsi="Arial"/>
                <w:b/>
                <w:color w:val="1F497D"/>
                <w:sz w:val="19"/>
              </w:rPr>
              <w:t>yyyy-mm-dd</w:t>
            </w:r>
          </w:p>
        </w:tc>
        <w:tc>
          <w:tcPr>
            <w:tcW w:type="dxa" w:w="1134"/>
            <w:shd w:val="clear" w:color="auto" w:fill="FFFFFF"/>
            <w:vAlign w:val="top"/>
          </w:tcPr>
          <w:p>
            <w:r>
              <w:rPr>
                <w:rFonts w:ascii="Arial" w:hAnsi="Arial"/>
                <w:sz w:val="19"/>
              </w:rPr>
              <w:t>Date</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w:t>
            </w:r>
          </w:p>
        </w:tc>
        <w:tc>
          <w:tcPr>
            <w:tcW w:type="dxa" w:w="3402"/>
            <w:shd w:val="clear" w:color="auto" w:fill="FFFFFF"/>
            <w:vAlign w:val="top"/>
          </w:tcPr>
          <w:p>
            <w:r>
              <w:rPr>
                <w:rFonts w:ascii="Arial" w:hAnsi="Arial"/>
                <w:sz w:val="19"/>
              </w:rPr>
              <w:t>Date of substrate survey at the site (ISO 8601 format, YYYY-MM-DD).</w:t>
            </w:r>
          </w:p>
        </w:tc>
      </w:tr>
      <w:tr>
        <w:tc>
          <w:tcPr>
            <w:tcW w:type="dxa" w:w="1701"/>
            <w:shd w:val="clear" w:color="auto" w:fill="EBF3FB"/>
            <w:vAlign w:val="top"/>
          </w:tcPr>
          <w:p>
            <w:r>
              <w:rPr>
                <w:rFonts w:ascii="Arial" w:hAnsi="Arial"/>
                <w:b/>
                <w:color w:val="1F497D"/>
                <w:sz w:val="19"/>
              </w:rPr>
              <w:t>makro</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Mineral — coarse</w:t>
            </w:r>
          </w:p>
        </w:tc>
        <w:tc>
          <w:tcPr>
            <w:tcW w:type="dxa" w:w="3402"/>
            <w:shd w:val="clear" w:color="auto" w:fill="EBF3FB"/>
            <w:vAlign w:val="top"/>
          </w:tcPr>
          <w:p>
            <w:r>
              <w:rPr>
                <w:rFonts w:ascii="Arial" w:hAnsi="Arial"/>
                <w:sz w:val="19"/>
              </w:rPr>
              <w:t>Macrolith: large stones and boulders (particle diameter &gt; 20 cm).</w:t>
            </w:r>
          </w:p>
        </w:tc>
      </w:tr>
      <w:tr>
        <w:tc>
          <w:tcPr>
            <w:tcW w:type="dxa" w:w="1701"/>
            <w:shd w:val="clear" w:color="auto" w:fill="FFFFFF"/>
            <w:vAlign w:val="top"/>
          </w:tcPr>
          <w:p>
            <w:r>
              <w:rPr>
                <w:rFonts w:ascii="Arial" w:hAnsi="Arial"/>
                <w:b/>
                <w:color w:val="1F497D"/>
                <w:sz w:val="19"/>
              </w:rPr>
              <w:t>meso</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Mineral — coarse</w:t>
            </w:r>
          </w:p>
        </w:tc>
        <w:tc>
          <w:tcPr>
            <w:tcW w:type="dxa" w:w="3402"/>
            <w:shd w:val="clear" w:color="auto" w:fill="FFFFFF"/>
            <w:vAlign w:val="top"/>
          </w:tcPr>
          <w:p>
            <w:r>
              <w:rPr>
                <w:rFonts w:ascii="Arial" w:hAnsi="Arial"/>
                <w:sz w:val="19"/>
              </w:rPr>
              <w:t>Mesolith: medium stones (particle diameter 6–20 cm).</w:t>
            </w:r>
          </w:p>
        </w:tc>
      </w:tr>
      <w:tr>
        <w:tc>
          <w:tcPr>
            <w:tcW w:type="dxa" w:w="1701"/>
            <w:shd w:val="clear" w:color="auto" w:fill="EBF3FB"/>
            <w:vAlign w:val="top"/>
          </w:tcPr>
          <w:p>
            <w:r>
              <w:rPr>
                <w:rFonts w:ascii="Arial" w:hAnsi="Arial"/>
                <w:b/>
                <w:color w:val="1F497D"/>
                <w:sz w:val="19"/>
              </w:rPr>
              <w:t>mikro</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Mineral — fine</w:t>
            </w:r>
          </w:p>
        </w:tc>
        <w:tc>
          <w:tcPr>
            <w:tcW w:type="dxa" w:w="3402"/>
            <w:shd w:val="clear" w:color="auto" w:fill="EBF3FB"/>
            <w:vAlign w:val="top"/>
          </w:tcPr>
          <w:p>
            <w:r>
              <w:rPr>
                <w:rFonts w:ascii="Arial" w:hAnsi="Arial"/>
                <w:sz w:val="19"/>
              </w:rPr>
              <w:t>Microlith: fine gravel (particle diameter 2–6 cm).</w:t>
            </w:r>
          </w:p>
        </w:tc>
      </w:tr>
      <w:tr>
        <w:tc>
          <w:tcPr>
            <w:tcW w:type="dxa" w:w="1701"/>
            <w:shd w:val="clear" w:color="auto" w:fill="FFFFFF"/>
            <w:vAlign w:val="top"/>
          </w:tcPr>
          <w:p>
            <w:r>
              <w:rPr>
                <w:rFonts w:ascii="Arial" w:hAnsi="Arial"/>
                <w:b/>
                <w:color w:val="1F497D"/>
                <w:sz w:val="19"/>
              </w:rPr>
              <w:t>akal</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Mineral — fine</w:t>
            </w:r>
          </w:p>
        </w:tc>
        <w:tc>
          <w:tcPr>
            <w:tcW w:type="dxa" w:w="3402"/>
            <w:shd w:val="clear" w:color="auto" w:fill="FFFFFF"/>
            <w:vAlign w:val="top"/>
          </w:tcPr>
          <w:p>
            <w:r>
              <w:rPr>
                <w:rFonts w:ascii="Arial" w:hAnsi="Arial"/>
                <w:sz w:val="19"/>
              </w:rPr>
              <w:t>Akal: very fine gravel (particle diameter 0.2–2 cm).</w:t>
            </w:r>
          </w:p>
        </w:tc>
      </w:tr>
      <w:tr>
        <w:tc>
          <w:tcPr>
            <w:tcW w:type="dxa" w:w="1701"/>
            <w:shd w:val="clear" w:color="auto" w:fill="EBF3FB"/>
            <w:vAlign w:val="top"/>
          </w:tcPr>
          <w:p>
            <w:r>
              <w:rPr>
                <w:rFonts w:ascii="Arial" w:hAnsi="Arial"/>
                <w:b/>
                <w:color w:val="1F497D"/>
                <w:sz w:val="19"/>
              </w:rPr>
              <w:t>psam</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Mineral — fine</w:t>
            </w:r>
          </w:p>
        </w:tc>
        <w:tc>
          <w:tcPr>
            <w:tcW w:type="dxa" w:w="3402"/>
            <w:shd w:val="clear" w:color="auto" w:fill="EBF3FB"/>
            <w:vAlign w:val="top"/>
          </w:tcPr>
          <w:p>
            <w:r>
              <w:rPr>
                <w:rFonts w:ascii="Arial" w:hAnsi="Arial"/>
                <w:sz w:val="19"/>
              </w:rPr>
              <w:t>Psammal: sand (particle diameter 0.006–0.2 cm).</w:t>
            </w:r>
          </w:p>
        </w:tc>
      </w:tr>
      <w:tr>
        <w:tc>
          <w:tcPr>
            <w:tcW w:type="dxa" w:w="1701"/>
            <w:shd w:val="clear" w:color="auto" w:fill="FFFFFF"/>
            <w:vAlign w:val="top"/>
          </w:tcPr>
          <w:p>
            <w:r>
              <w:rPr>
                <w:rFonts w:ascii="Arial" w:hAnsi="Arial"/>
                <w:b/>
                <w:color w:val="1F497D"/>
                <w:sz w:val="19"/>
              </w:rPr>
              <w:t>tech_1</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Mineral — technical</w:t>
            </w:r>
          </w:p>
        </w:tc>
        <w:tc>
          <w:tcPr>
            <w:tcW w:type="dxa" w:w="3402"/>
            <w:shd w:val="clear" w:color="auto" w:fill="FFFFFF"/>
            <w:vAlign w:val="top"/>
          </w:tcPr>
          <w:p>
            <w:r>
              <w:rPr>
                <w:rFonts w:ascii="Arial" w:hAnsi="Arial"/>
                <w:sz w:val="19"/>
              </w:rPr>
              <w:t>Technical substrate type 1: artificial hard substrate (e.g. concrete, stone pitching).</w:t>
            </w:r>
          </w:p>
        </w:tc>
      </w:tr>
      <w:tr>
        <w:tc>
          <w:tcPr>
            <w:tcW w:type="dxa" w:w="1701"/>
            <w:shd w:val="clear" w:color="auto" w:fill="EBF3FB"/>
            <w:vAlign w:val="top"/>
          </w:tcPr>
          <w:p>
            <w:r>
              <w:rPr>
                <w:rFonts w:ascii="Arial" w:hAnsi="Arial"/>
                <w:b/>
                <w:color w:val="1F497D"/>
                <w:sz w:val="19"/>
              </w:rPr>
              <w:t>submers</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Organic — biotic</w:t>
            </w:r>
          </w:p>
        </w:tc>
        <w:tc>
          <w:tcPr>
            <w:tcW w:type="dxa" w:w="3402"/>
            <w:shd w:val="clear" w:color="auto" w:fill="EBF3FB"/>
            <w:vAlign w:val="top"/>
          </w:tcPr>
          <w:p>
            <w:r>
              <w:rPr>
                <w:rFonts w:ascii="Arial" w:hAnsi="Arial"/>
                <w:sz w:val="19"/>
              </w:rPr>
              <w:t>Submerged aquatic macrophytes covering the streambed.</w:t>
            </w:r>
          </w:p>
        </w:tc>
      </w:tr>
      <w:tr>
        <w:tc>
          <w:tcPr>
            <w:tcW w:type="dxa" w:w="1701"/>
            <w:shd w:val="clear" w:color="auto" w:fill="FFFFFF"/>
            <w:vAlign w:val="top"/>
          </w:tcPr>
          <w:p>
            <w:r>
              <w:rPr>
                <w:rFonts w:ascii="Arial" w:hAnsi="Arial"/>
                <w:b/>
                <w:color w:val="1F497D"/>
                <w:sz w:val="19"/>
              </w:rPr>
              <w:t>emers</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Organic — biotic</w:t>
            </w:r>
          </w:p>
        </w:tc>
        <w:tc>
          <w:tcPr>
            <w:tcW w:type="dxa" w:w="3402"/>
            <w:shd w:val="clear" w:color="auto" w:fill="FFFFFF"/>
            <w:vAlign w:val="top"/>
          </w:tcPr>
          <w:p>
            <w:r>
              <w:rPr>
                <w:rFonts w:ascii="Arial" w:hAnsi="Arial"/>
                <w:sz w:val="19"/>
              </w:rPr>
              <w:t>Emergent aquatic vegetation rooted in or overhanging the streambed.</w:t>
            </w:r>
          </w:p>
        </w:tc>
      </w:tr>
      <w:tr>
        <w:tc>
          <w:tcPr>
            <w:tcW w:type="dxa" w:w="1701"/>
            <w:shd w:val="clear" w:color="auto" w:fill="EBF3FB"/>
            <w:vAlign w:val="top"/>
          </w:tcPr>
          <w:p>
            <w:r>
              <w:rPr>
                <w:rFonts w:ascii="Arial" w:hAnsi="Arial"/>
                <w:b/>
                <w:color w:val="1F497D"/>
                <w:sz w:val="19"/>
              </w:rPr>
              <w:t>living parts</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Organic — biotic</w:t>
            </w:r>
          </w:p>
        </w:tc>
        <w:tc>
          <w:tcPr>
            <w:tcW w:type="dxa" w:w="3402"/>
            <w:shd w:val="clear" w:color="auto" w:fill="EBF3FB"/>
            <w:vAlign w:val="top"/>
          </w:tcPr>
          <w:p>
            <w:r>
              <w:rPr>
                <w:rFonts w:ascii="Arial" w:hAnsi="Arial"/>
                <w:sz w:val="19"/>
              </w:rPr>
              <w:t>Living plant parts (roots, mosses) in direct contact with the streambed.</w:t>
            </w:r>
          </w:p>
        </w:tc>
      </w:tr>
      <w:tr>
        <w:tc>
          <w:tcPr>
            <w:tcW w:type="dxa" w:w="1701"/>
            <w:shd w:val="clear" w:color="auto" w:fill="FFFFFF"/>
            <w:vAlign w:val="top"/>
          </w:tcPr>
          <w:p>
            <w:r>
              <w:rPr>
                <w:rFonts w:ascii="Arial" w:hAnsi="Arial"/>
                <w:b/>
                <w:color w:val="1F497D"/>
                <w:sz w:val="19"/>
              </w:rPr>
              <w:t>xylal</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Organic — abiotic</w:t>
            </w:r>
          </w:p>
        </w:tc>
        <w:tc>
          <w:tcPr>
            <w:tcW w:type="dxa" w:w="3402"/>
            <w:shd w:val="clear" w:color="auto" w:fill="FFFFFF"/>
            <w:vAlign w:val="top"/>
          </w:tcPr>
          <w:p>
            <w:r>
              <w:rPr>
                <w:rFonts w:ascii="Arial" w:hAnsi="Arial"/>
                <w:sz w:val="19"/>
              </w:rPr>
              <w:t>Xylal: woody debris including logs, branches, and root mats.</w:t>
            </w:r>
          </w:p>
        </w:tc>
      </w:tr>
      <w:tr>
        <w:tc>
          <w:tcPr>
            <w:tcW w:type="dxa" w:w="1701"/>
            <w:shd w:val="clear" w:color="auto" w:fill="EBF3FB"/>
            <w:vAlign w:val="top"/>
          </w:tcPr>
          <w:p>
            <w:r>
              <w:rPr>
                <w:rFonts w:ascii="Arial" w:hAnsi="Arial"/>
                <w:b/>
                <w:color w:val="1F497D"/>
                <w:sz w:val="19"/>
              </w:rPr>
              <w:t>CPOM</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Organic — abiotic</w:t>
            </w:r>
          </w:p>
        </w:tc>
        <w:tc>
          <w:tcPr>
            <w:tcW w:type="dxa" w:w="3402"/>
            <w:shd w:val="clear" w:color="auto" w:fill="EBF3FB"/>
            <w:vAlign w:val="top"/>
          </w:tcPr>
          <w:p>
            <w:r>
              <w:rPr>
                <w:rFonts w:ascii="Arial" w:hAnsi="Arial"/>
                <w:sz w:val="19"/>
              </w:rPr>
              <w:t>Coarse Particulate Organic Matter: leaf litter and plant fragments &gt; 1 mm.</w:t>
            </w:r>
          </w:p>
        </w:tc>
      </w:tr>
      <w:tr>
        <w:tc>
          <w:tcPr>
            <w:tcW w:type="dxa" w:w="1701"/>
            <w:shd w:val="clear" w:color="auto" w:fill="FFFFFF"/>
            <w:vAlign w:val="top"/>
          </w:tcPr>
          <w:p>
            <w:r>
              <w:rPr>
                <w:rFonts w:ascii="Arial" w:hAnsi="Arial"/>
                <w:b/>
                <w:color w:val="1F497D"/>
                <w:sz w:val="19"/>
              </w:rPr>
              <w:t>FPOM</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Organic — abiotic</w:t>
            </w:r>
          </w:p>
        </w:tc>
        <w:tc>
          <w:tcPr>
            <w:tcW w:type="dxa" w:w="3402"/>
            <w:shd w:val="clear" w:color="auto" w:fill="FFFFFF"/>
            <w:vAlign w:val="top"/>
          </w:tcPr>
          <w:p>
            <w:r>
              <w:rPr>
                <w:rFonts w:ascii="Arial" w:hAnsi="Arial"/>
                <w:sz w:val="19"/>
              </w:rPr>
              <w:t>Fine Particulate Organic Matter: decomposed organic material ≤ 1 mm.</w:t>
            </w:r>
          </w:p>
        </w:tc>
      </w:tr>
      <w:tr>
        <w:tc>
          <w:tcPr>
            <w:tcW w:type="dxa" w:w="1701"/>
            <w:shd w:val="clear" w:color="auto" w:fill="EBF3FB"/>
            <w:vAlign w:val="top"/>
          </w:tcPr>
          <w:p>
            <w:r>
              <w:rPr>
                <w:rFonts w:ascii="Arial" w:hAnsi="Arial"/>
                <w:b/>
                <w:color w:val="1F497D"/>
                <w:sz w:val="19"/>
              </w:rPr>
              <w:t>sum</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w:t>
            </w:r>
          </w:p>
        </w:tc>
        <w:tc>
          <w:tcPr>
            <w:tcW w:type="dxa" w:w="3402"/>
            <w:shd w:val="clear" w:color="auto" w:fill="EBF3FB"/>
            <w:vAlign w:val="top"/>
          </w:tcPr>
          <w:p>
            <w:r>
              <w:rPr>
                <w:rFonts w:ascii="Arial" w:hAnsi="Arial"/>
                <w:sz w:val="19"/>
              </w:rPr>
              <w:t>Row total of all substrate shares. Should equal 100 for sampled sites; NA for unsampled sites.</w:t>
            </w:r>
          </w:p>
        </w:tc>
      </w:tr>
    </w:tbl>
    <w:p>
      <w:pPr>
        <w:spacing w:after="160"/>
      </w:pPr>
    </w:p>
    <w:p>
      <w:pPr>
        <w:pStyle w:val="Heading1"/>
        <w:spacing w:before="240" w:after="80"/>
      </w:pPr>
      <w:r>
        <w:rPr>
          <w:rFonts w:ascii="Arial" w:hAnsi="Arial"/>
          <w:b/>
          <w:color w:val="2E74B5"/>
          <w:sz w:val="28"/>
        </w:rPr>
        <w:t>6. Excluded Variables</w:t>
      </w:r>
    </w:p>
    <w:p>
      <w:pPr>
        <w:spacing w:after="120"/>
      </w:pPr>
      <w:r>
        <w:rPr>
          <w:rFonts w:ascii="Arial" w:hAnsi="Arial"/>
          <w:i w:val="0"/>
          <w:sz w:val="22"/>
        </w:rPr>
        <w:t>The following variables were present in the original Excel sheet but removed from the analysis dataset:</w:t>
      </w:r>
    </w:p>
    <w:p>
      <w:pPr>
        <w:pStyle w:val="ListBullet"/>
        <w:spacing w:after="60"/>
      </w:pPr>
      <w:r>
        <w:rPr>
          <w:rFonts w:ascii="Arial" w:hAnsi="Arial"/>
          <w:b/>
          <w:sz w:val="22"/>
        </w:rPr>
        <w:t xml:space="preserve">mega: </w:t>
      </w:r>
      <w:r>
        <w:rPr>
          <w:rFonts w:ascii="Arial" w:hAnsi="Arial"/>
          <w:sz w:val="22"/>
        </w:rPr>
        <w:t>Megalith (particle diameter &gt; 40 cm) — absent from all 2025 sites.</w:t>
      </w:r>
    </w:p>
    <w:p>
      <w:pPr>
        <w:pStyle w:val="ListBullet"/>
        <w:spacing w:after="60"/>
      </w:pPr>
      <w:r>
        <w:rPr>
          <w:rFonts w:ascii="Arial" w:hAnsi="Arial"/>
          <w:b/>
          <w:sz w:val="22"/>
        </w:rPr>
        <w:t xml:space="preserve">arg: </w:t>
      </w:r>
      <w:r>
        <w:rPr>
          <w:rFonts w:ascii="Arial" w:hAnsi="Arial"/>
          <w:sz w:val="22"/>
        </w:rPr>
        <w:t>Argillal (fine clay sediment) — absent from all 2025 sites.</w:t>
      </w:r>
    </w:p>
    <w:p>
      <w:pPr>
        <w:pStyle w:val="ListBullet"/>
        <w:spacing w:after="60"/>
      </w:pPr>
      <w:r>
        <w:rPr>
          <w:rFonts w:ascii="Arial" w:hAnsi="Arial"/>
          <w:b/>
          <w:sz w:val="22"/>
        </w:rPr>
        <w:t xml:space="preserve">tech_2: </w:t>
      </w:r>
      <w:r>
        <w:rPr>
          <w:rFonts w:ascii="Arial" w:hAnsi="Arial"/>
          <w:sz w:val="22"/>
        </w:rPr>
        <w:t>Technical substrate type 2 — absent from all 2025 sites.</w:t>
      </w:r>
    </w:p>
    <w:p>
      <w:pPr>
        <w:pStyle w:val="ListBullet"/>
        <w:spacing w:after="60"/>
      </w:pPr>
      <w:r>
        <w:rPr>
          <w:rFonts w:ascii="Arial" w:hAnsi="Arial"/>
          <w:b/>
          <w:sz w:val="22"/>
        </w:rPr>
        <w:t xml:space="preserve">algae: </w:t>
      </w:r>
      <w:r>
        <w:rPr>
          <w:rFonts w:ascii="Arial" w:hAnsi="Arial"/>
          <w:sz w:val="22"/>
        </w:rPr>
        <w:t>Algal cover — outside the scope of the current substrate analysis.</w:t>
      </w:r>
    </w:p>
    <w:p>
      <w:pPr>
        <w:pStyle w:val="ListBullet"/>
        <w:spacing w:after="60"/>
      </w:pPr>
      <w:r>
        <w:rPr>
          <w:rFonts w:ascii="Arial" w:hAnsi="Arial"/>
          <w:b/>
          <w:sz w:val="22"/>
        </w:rPr>
        <w:t xml:space="preserve">sapro: </w:t>
      </w:r>
      <w:r>
        <w:rPr>
          <w:rFonts w:ascii="Arial" w:hAnsi="Arial"/>
          <w:sz w:val="22"/>
        </w:rPr>
        <w:t>Sapropel (organic mud) — absent from all 2025 sites.</w:t>
      </w:r>
    </w:p>
    <w:p>
      <w:pPr>
        <w:pStyle w:val="ListBullet"/>
        <w:spacing w:after="60"/>
      </w:pPr>
      <w:r>
        <w:rPr>
          <w:rFonts w:ascii="Arial" w:hAnsi="Arial"/>
          <w:b/>
          <w:sz w:val="22"/>
        </w:rPr>
        <w:t xml:space="preserve">debris: </w:t>
      </w:r>
      <w:r>
        <w:rPr>
          <w:rFonts w:ascii="Arial" w:hAnsi="Arial"/>
          <w:sz w:val="22"/>
        </w:rPr>
        <w:t>Inorganic debris — absent from all 2025 sites.</w:t>
      </w:r>
    </w:p>
    <w:p>
      <w:pPr>
        <w:pStyle w:val="ListBullet"/>
        <w:spacing w:after="60"/>
      </w:pPr>
      <w:r>
        <w:rPr>
          <w:rFonts w:ascii="Arial" w:hAnsi="Arial"/>
          <w:b/>
          <w:sz w:val="22"/>
        </w:rPr>
        <w:t xml:space="preserve">notes on habitats: </w:t>
      </w:r>
      <w:r>
        <w:rPr>
          <w:rFonts w:ascii="Arial" w:hAnsi="Arial"/>
          <w:sz w:val="22"/>
        </w:rPr>
        <w:t>Free-text qualitative field notes (German) — not suitable for quantitative analysis.</w:t>
      </w:r>
    </w:p>
    <w:p>
      <w:pPr>
        <w:pStyle w:val="ListBullet"/>
        <w:spacing w:after="60"/>
      </w:pPr>
      <w:r>
        <w:rPr>
          <w:rFonts w:ascii="Arial" w:hAnsi="Arial"/>
          <w:b/>
          <w:sz w:val="22"/>
        </w:rPr>
        <w:t xml:space="preserve">notes on biology: </w:t>
      </w:r>
      <w:r>
        <w:rPr>
          <w:rFonts w:ascii="Arial" w:hAnsi="Arial"/>
          <w:sz w:val="22"/>
        </w:rPr>
        <w:t>Free-text biological observations (German) — not suitable for quantitative analysis.</w:t>
      </w:r>
    </w:p>
    <w:p>
      <w:pPr>
        <w:spacing w:after="240"/>
      </w:pPr>
    </w:p>
    <w:p>
      <w:pPr>
        <w:spacing w:before="240"/>
      </w:pPr>
      <w:r>
        <w:rPr>
          <w:rFonts w:ascii="Arial" w:hAnsi="Arial"/>
          <w:b/>
          <w:sz w:val="18"/>
        </w:rPr>
        <w:t xml:space="preserve">Note: </w:t>
      </w:r>
      <w:r>
        <w:rPr>
          <w:rFonts w:ascii="Arial" w:hAnsi="Arial"/>
          <w:i/>
          <w:color w:val="606060"/>
          <w:sz w:val="18"/>
        </w:rPr>
        <w:t>All substrate share values are expressed as percentages (%). Row sums equal 100 for all sampled sites. Values recorded as "x" in the original field sheet (share &lt; 5%) are encoded as 0. The unsampled site B_VORmi has NA for all substrate columns.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