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2E4057"/>
          <w:sz w:val="44"/>
        </w:rPr>
        <w:t>Spatial Land Use Data Analysis Report</w:t>
      </w:r>
    </w:p>
    <w:p>
      <w:pPr>
        <w:jc w:val="center"/>
      </w:pPr>
      <w:r>
        <w:rPr>
          <w:rFonts w:ascii="Arial" w:hAnsi="Arial"/>
          <w:i/>
          <w:color w:val="555555"/>
          <w:sz w:val="26"/>
        </w:rPr>
        <w:t>Data Cleaning, Processing &amp; Variable Documentation</w:t>
      </w:r>
    </w:p>
    <w:p/>
    <w:p>
      <w:pPr>
        <w:jc w:val="center"/>
      </w:pPr>
      <w:r>
        <w:rPr>
          <w:rFonts w:ascii="Arial" w:hAnsi="Arial"/>
          <w:color w:val="444444"/>
          <w:sz w:val="22"/>
        </w:rPr>
        <w:t>Catchments: Boye | Kinzig | Rotbach | Schwarzbach</w:t>
        <w:br/>
        <w:t>Year of Focus: 2022</w:t>
        <w:br/>
        <w:t>Date of Analysis: March 2026</w:t>
      </w:r>
    </w:p>
    <w:p>
      <w:r>
        <w:br w:type="page"/>
      </w:r>
    </w:p>
    <w:p>
      <w:pPr>
        <w:spacing w:before="360" w:after="120"/>
      </w:pPr>
      <w:r>
        <w:rPr>
          <w:rFonts w:ascii="Arial" w:hAnsi="Arial"/>
          <w:b/>
          <w:color w:val="2E4057"/>
          <w:sz w:val="32"/>
        </w:rPr>
        <w:t>1. Introduction</w:t>
      </w:r>
    </w:p>
    <w:p>
      <w:pPr>
        <w:spacing w:after="120"/>
      </w:pPr>
      <w:r>
        <w:rPr>
          <w:rFonts w:ascii="Arial" w:hAnsi="Arial"/>
          <w:sz w:val="22"/>
        </w:rPr>
        <w:t>This report documents the process of loading, inspecting, cleaning, and summarising spatial land use data collected across monitoring sites in two German river catchments: the Boye (including the Rotbach and Schwarzbach tributaries) and the Kinzig. The data records the proportion of different land use types within each sub-catchment for each year, and forms the basis for understanding how landscape composition varies across sites and how it may relate to ecological conditions in the streams.</w:t>
      </w:r>
    </w:p>
    <w:p>
      <w:pPr>
        <w:spacing w:after="120"/>
      </w:pPr>
      <w:r>
        <w:rPr>
          <w:rFonts w:ascii="Arial" w:hAnsi="Arial"/>
          <w:sz w:val="22"/>
        </w:rPr>
        <w:t>The analysis focused on the most recent year available (2022) and produced a cleaned, merged dataset with standardised site names and a summary table classifying land use into four broad categories: agricultural, industrial, urban, and rural.</w:t>
      </w:r>
    </w:p>
    <w:p>
      <w:pPr>
        <w:spacing w:before="360" w:after="120"/>
      </w:pPr>
      <w:r>
        <w:rPr>
          <w:rFonts w:ascii="Arial" w:hAnsi="Arial"/>
          <w:b/>
          <w:color w:val="2E4057"/>
          <w:sz w:val="32"/>
        </w:rPr>
        <w:t>2. Data Sources</w:t>
      </w:r>
    </w:p>
    <w:p>
      <w:pPr>
        <w:spacing w:after="120"/>
      </w:pPr>
      <w:r>
        <w:rPr>
          <w:rFonts w:ascii="Arial" w:hAnsi="Arial"/>
          <w:sz w:val="22"/>
        </w:rPr>
        <w:t>Three raw data files were provided, each covering a different catchment or set of sites: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File</w:t>
            </w:r>
          </w:p>
        </w:tc>
        <w:tc>
          <w:tcPr>
            <w:tcW w:type="dxa" w:w="1728"/>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Catchment</w:t>
            </w:r>
          </w:p>
        </w:tc>
        <w:tc>
          <w:tcPr>
            <w:tcW w:type="dxa" w:w="1152"/>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Sites</w:t>
            </w:r>
          </w:p>
        </w:tc>
        <w:tc>
          <w:tcPr>
            <w:tcW w:type="dxa" w:w="2880"/>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Years Covered</w:t>
            </w:r>
          </w:p>
        </w:tc>
      </w:tr>
      <w:tr>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Boye_all_sites_croppercent.csv</w:t>
            </w:r>
          </w:p>
        </w:tc>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Boye</w:t>
            </w:r>
          </w:p>
        </w:tc>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19</w:t>
            </w:r>
          </w:p>
        </w:tc>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2016–2022</w:t>
            </w:r>
          </w:p>
        </w:tc>
      </w:tr>
      <w:tr>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Kinzig_all_sites_croppercent.csv</w:t>
            </w:r>
          </w:p>
        </w:tc>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Kinzig</w:t>
            </w:r>
          </w:p>
        </w:tc>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20</w:t>
            </w:r>
          </w:p>
        </w:tc>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2005–2022</w:t>
            </w:r>
          </w:p>
        </w:tc>
      </w:tr>
      <w:tr>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Rotbach_Schwarzbach_Landuse.csv</w:t>
            </w:r>
          </w:p>
        </w:tc>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Boye (tributaries)</w:t>
            </w:r>
          </w:p>
        </w:tc>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2</w:t>
            </w:r>
          </w:p>
        </w:tc>
        <w:tc>
          <w:tcPr>
            <w:tcW w:type="dxa" w:w="2196"/>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2016–2022</w:t>
            </w:r>
          </w:p>
        </w:tc>
      </w:tr>
    </w:tbl>
    <w:p/>
    <w:p>
      <w:pPr>
        <w:spacing w:after="120"/>
      </w:pPr>
      <w:r>
        <w:rPr>
          <w:rFonts w:ascii="Arial" w:hAnsi="Arial"/>
          <w:sz w:val="22"/>
        </w:rPr>
        <w:t>A fourth file, Lookup_table_crop_codes.xlsx, provided the mapping between numeric land use codes (the Value column) and their corresponding descriptions and SWAT model codes. This lookup table was used throughout the analysis to interpret the numeric codes.</w:t>
      </w:r>
    </w:p>
    <w:p>
      <w:pPr>
        <w:spacing w:before="360" w:after="120"/>
      </w:pPr>
      <w:r>
        <w:rPr>
          <w:rFonts w:ascii="Arial" w:hAnsi="Arial"/>
          <w:b/>
          <w:color w:val="2E4057"/>
          <w:sz w:val="32"/>
        </w:rPr>
        <w:t>3. Raw Data Structure</w:t>
      </w:r>
    </w:p>
    <w:p>
      <w:pPr>
        <w:spacing w:after="120"/>
      </w:pPr>
      <w:r>
        <w:rPr>
          <w:rFonts w:ascii="Arial" w:hAnsi="Arial"/>
          <w:sz w:val="22"/>
        </w:rPr>
        <w:t>All three source files shared the same fundamental long-format structure, where each row represents a single land use type at a single site in a single year. The key columns present in each file were:</w:t>
      </w:r>
    </w:p>
    <w:p>
      <w:pPr>
        <w:pStyle w:val="ListBullet"/>
        <w:spacing w:after="60"/>
        <w:ind w:left="576"/>
      </w:pPr>
      <w:r>
        <w:rPr>
          <w:rFonts w:ascii="Arial" w:hAnsi="Arial"/>
          <w:b/>
          <w:sz w:val="22"/>
        </w:rPr>
        <w:t xml:space="preserve">Name: </w:t>
      </w:r>
      <w:r>
        <w:rPr>
          <w:rFonts w:ascii="Arial" w:hAnsi="Arial"/>
          <w:sz w:val="22"/>
        </w:rPr>
        <w:t>The monitoring site or sub-catchment identifier (inconsistently formatted across files).</w:t>
      </w:r>
    </w:p>
    <w:p>
      <w:pPr>
        <w:pStyle w:val="ListBullet"/>
        <w:spacing w:after="60"/>
      </w:pPr>
      <w:r>
        <w:rPr>
          <w:rFonts w:ascii="Arial" w:hAnsi="Arial"/>
          <w:b/>
          <w:sz w:val="22"/>
        </w:rPr>
        <w:t xml:space="preserve">Year: </w:t>
      </w:r>
      <w:r>
        <w:rPr>
          <w:rFonts w:ascii="Arial" w:hAnsi="Arial"/>
          <w:sz w:val="22"/>
        </w:rPr>
        <w:t>The calendar year of the land use observation.</w:t>
      </w:r>
    </w:p>
    <w:p>
      <w:pPr>
        <w:pStyle w:val="ListBullet"/>
        <w:spacing w:after="60"/>
      </w:pPr>
      <w:r>
        <w:rPr>
          <w:rFonts w:ascii="Arial" w:hAnsi="Arial"/>
          <w:b/>
          <w:sz w:val="22"/>
        </w:rPr>
        <w:t xml:space="preserve">Value: </w:t>
      </w:r>
      <w:r>
        <w:rPr>
          <w:rFonts w:ascii="Arial" w:hAnsi="Arial"/>
          <w:sz w:val="22"/>
        </w:rPr>
        <w:t>A numeric code identifying the land use type, cross-referenced with the lookup table.</w:t>
      </w:r>
    </w:p>
    <w:p>
      <w:pPr>
        <w:pStyle w:val="ListBullet"/>
        <w:spacing w:after="60"/>
      </w:pPr>
      <w:r>
        <w:rPr>
          <w:rFonts w:ascii="Arial" w:hAnsi="Arial"/>
          <w:b/>
          <w:sz w:val="22"/>
        </w:rPr>
        <w:t xml:space="preserve">Area: </w:t>
      </w:r>
      <w:r>
        <w:rPr>
          <w:rFonts w:ascii="Arial" w:hAnsi="Arial"/>
          <w:sz w:val="22"/>
        </w:rPr>
        <w:t>The area (in hectares) of the catchment covered by that land use type.</w:t>
      </w:r>
    </w:p>
    <w:p>
      <w:pPr>
        <w:pStyle w:val="ListBullet"/>
        <w:spacing w:after="60"/>
      </w:pPr>
      <w:r>
        <w:rPr>
          <w:rFonts w:ascii="Arial" w:hAnsi="Arial"/>
          <w:b/>
          <w:sz w:val="22"/>
        </w:rPr>
        <w:t xml:space="preserve">Area_Percentage: </w:t>
      </w:r>
      <w:r>
        <w:rPr>
          <w:rFonts w:ascii="Arial" w:hAnsi="Arial"/>
          <w:sz w:val="22"/>
        </w:rPr>
        <w:t>The proportion of the total catchment area covered by that land use type, expressed as a percentage.</w:t>
      </w:r>
    </w:p>
    <w:p/>
    <w:p>
      <w:pPr>
        <w:spacing w:after="120"/>
      </w:pPr>
      <w:r>
        <w:rPr>
          <w:rFonts w:ascii="Arial" w:hAnsi="Arial"/>
          <w:sz w:val="22"/>
        </w:rPr>
        <w:t>An important structural inconsistency was identified in the Rotbach_Schwarzbach_Landuse.csv file: the Area_Percentage column was stored as a character string with a percentage symbol appended (e.g., "57.22%") rather than as a plain numeric value. This differed from the other two files where the column was stored as a numeric type. This caused a type mismatch error when the three datasets were combined.</w:t>
      </w:r>
    </w:p>
    <w:p>
      <w:pPr>
        <w:spacing w:before="360" w:after="120"/>
      </w:pPr>
      <w:r>
        <w:rPr>
          <w:rFonts w:ascii="Arial" w:hAnsi="Arial"/>
          <w:b/>
          <w:color w:val="2E4057"/>
          <w:sz w:val="32"/>
        </w:rPr>
        <w:t>4. Data Cleaning Steps</w:t>
      </w:r>
    </w:p>
    <w:p>
      <w:pPr>
        <w:spacing w:after="120"/>
      </w:pPr>
      <w:r>
        <w:rPr>
          <w:rFonts w:ascii="Arial" w:hAnsi="Arial"/>
          <w:sz w:val="22"/>
        </w:rPr>
        <w:t>The following cleaning steps were applied systematically before any analysis was performed. Each step is described alongside the rationale for why it was necessary.</w:t>
      </w:r>
    </w:p>
    <w:p>
      <w:pPr>
        <w:spacing w:before="240" w:after="80"/>
      </w:pPr>
      <w:r>
        <w:rPr>
          <w:rFonts w:ascii="Arial" w:hAnsi="Arial"/>
          <w:b/>
          <w:color w:val="2E4057"/>
          <w:sz w:val="26"/>
        </w:rPr>
        <w:t>4.1  Standardising Site Names</w:t>
      </w:r>
    </w:p>
    <w:p>
      <w:pPr>
        <w:spacing w:after="120"/>
      </w:pPr>
      <w:r>
        <w:rPr>
          <w:rFonts w:ascii="Arial" w:hAnsi="Arial"/>
          <w:sz w:val="22"/>
        </w:rPr>
        <w:t>The Name column in the Boye and Rotbach/Schwarzbach files used inconsistent naming conventions compared to the agreed clean site name list. Specifically, the original names contained underscores as separators (e.g., BOY_kl, BOY_oh_B224, VOR_uh_Sch) and non-standard capitalisation (e.g., Qu_oh_Bo instead of QUAohBo). The Rotbach and Schwarzbach sites were stored using full plain-text names rather than the agreed codes (ROTB and SCHW).</w:t>
      </w:r>
    </w:p>
    <w:p>
      <w:pPr>
        <w:spacing w:after="120"/>
      </w:pPr>
      <w:r>
        <w:rPr>
          <w:rFonts w:ascii="Arial" w:hAnsi="Arial"/>
          <w:sz w:val="22"/>
        </w:rPr>
        <w:t>A named character vector lookup table was constructed in R using the recode() function from the dplyr package. Each messy original name was explicitly mapped to its clean equivalent. The Kinzig file required no renaming as its site names (e.g., BIE1, KIN4) already conformed to the clean naming convention.</w:t>
      </w:r>
    </w:p>
    <w:p>
      <w:pPr>
        <w:spacing w:after="120"/>
      </w:pPr>
      <w:r>
        <w:rPr>
          <w:rFonts w:ascii="Arial" w:hAnsi="Arial"/>
          <w:sz w:val="22"/>
        </w:rPr>
        <w:t>The following mappings were applied to the Boye file:</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4A6FA5"/>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Original Name</w:t>
            </w:r>
          </w:p>
        </w:tc>
        <w:tc>
          <w:tcPr>
            <w:tcW w:type="dxa" w:w="4392"/>
            <w:shd w:val="clear" w:color="auto" w:fill="4A6FA5"/>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Clean Name</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BOY_kl</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BOYkl</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BOY_oh_B224</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BOYohB224</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BOY_oh_Br</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BOYohBr</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BOY_oh_Ki</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BOYohKi</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BOY_oh_Sp</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BOYohSp</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BOY_uh_Ha</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BOYuhHa</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BOY_uh_Sp</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BOYuhSp</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BRA_ob</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BRAob</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BRA_oh_Bo</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BRAohBo</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HAA_ob</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HAAob</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HAA_un</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HAAun</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KIR_ob</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KIRob</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KIR_un</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KIRun</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NAT_oh_Bo</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NATohBo</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Qu_oh_Bo</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QUAohBo</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SCH_oh_Vo</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SCHohVo</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VOR_oh_Bo</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VORohBo</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VOR_uh_Sch</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VORuhSc</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WIT_ob</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WITob</w:t>
            </w:r>
          </w:p>
        </w:tc>
      </w:tr>
    </w:tbl>
    <w:p/>
    <w:p>
      <w:pPr>
        <w:spacing w:before="240" w:after="80"/>
      </w:pPr>
      <w:r>
        <w:rPr>
          <w:rFonts w:ascii="Arial" w:hAnsi="Arial"/>
          <w:b/>
          <w:color w:val="2E4057"/>
          <w:sz w:val="26"/>
        </w:rPr>
        <w:t>4.2  Fixing the Area_Percentage Data Type</w:t>
      </w:r>
    </w:p>
    <w:p>
      <w:pPr>
        <w:spacing w:after="120"/>
      </w:pPr>
      <w:r>
        <w:rPr>
          <w:rFonts w:ascii="Arial" w:hAnsi="Arial"/>
          <w:sz w:val="22"/>
        </w:rPr>
        <w:t>As noted above, the Rotbach_Schwarzbach_Landuse.csv file stored the Area_Percentage column as a character string including the percent symbol. Before merging the three datasets, this column was converted to a numeric type using gsub() to strip the percent symbol followed by as.numeric() to coerce the result. Failure to perform this step caused R's bind_rows() function to raise a type conflict error, as it cannot automatically combine a numeric column with a character column of the same name.</w:t>
      </w:r>
    </w:p>
    <w:p>
      <w:pPr>
        <w:spacing w:before="240" w:after="80"/>
      </w:pPr>
      <w:r>
        <w:rPr>
          <w:rFonts w:ascii="Arial" w:hAnsi="Arial"/>
          <w:b/>
          <w:color w:val="2E4057"/>
          <w:sz w:val="26"/>
        </w:rPr>
        <w:t>4.3  Adding Stream and Site Identifiers</w:t>
      </w:r>
    </w:p>
    <w:p>
      <w:pPr>
        <w:spacing w:after="120"/>
      </w:pPr>
      <w:r>
        <w:rPr>
          <w:rFonts w:ascii="Arial" w:hAnsi="Arial"/>
          <w:sz w:val="22"/>
        </w:rPr>
        <w:t>Each dataset covered a different catchment. To enable cross-catchment comparisons after merging, a stream column was added to each dataframe before binding:</w:t>
      </w:r>
    </w:p>
    <w:p>
      <w:pPr>
        <w:pStyle w:val="ListBullet"/>
        <w:spacing w:after="60"/>
      </w:pPr>
      <w:r>
        <w:rPr>
          <w:rFonts w:ascii="Arial" w:hAnsi="Arial"/>
          <w:b/>
          <w:sz w:val="22"/>
        </w:rPr>
        <w:t xml:space="preserve">"Boye": </w:t>
      </w:r>
      <w:r>
        <w:rPr>
          <w:rFonts w:ascii="Arial" w:hAnsi="Arial"/>
          <w:sz w:val="22"/>
        </w:rPr>
        <w:t>assigned to all rows from Boye_all_sites_croppercent.csv</w:t>
      </w:r>
    </w:p>
    <w:p>
      <w:pPr>
        <w:pStyle w:val="ListBullet"/>
        <w:spacing w:after="60"/>
      </w:pPr>
      <w:r>
        <w:rPr>
          <w:rFonts w:ascii="Arial" w:hAnsi="Arial"/>
          <w:b/>
          <w:sz w:val="22"/>
        </w:rPr>
        <w:t xml:space="preserve">"Boye": </w:t>
      </w:r>
      <w:r>
        <w:rPr>
          <w:rFonts w:ascii="Arial" w:hAnsi="Arial"/>
          <w:sz w:val="22"/>
        </w:rPr>
        <w:t>also assigned to Rotbach and Schwarzbach, as both are tributaries of the Boye catchment</w:t>
      </w:r>
    </w:p>
    <w:p>
      <w:pPr>
        <w:pStyle w:val="ListBullet"/>
        <w:spacing w:after="60"/>
      </w:pPr>
      <w:r>
        <w:rPr>
          <w:rFonts w:ascii="Arial" w:hAnsi="Arial"/>
          <w:b/>
          <w:sz w:val="22"/>
        </w:rPr>
        <w:t xml:space="preserve">"Kinzig": </w:t>
      </w:r>
      <w:r>
        <w:rPr>
          <w:rFonts w:ascii="Arial" w:hAnsi="Arial"/>
          <w:sz w:val="22"/>
        </w:rPr>
        <w:t>assigned to all rows from Kinzig_all_sites_croppercent.csv</w:t>
      </w:r>
    </w:p>
    <w:p/>
    <w:p>
      <w:pPr>
        <w:spacing w:before="240" w:after="80"/>
      </w:pPr>
      <w:r>
        <w:rPr>
          <w:rFonts w:ascii="Arial" w:hAnsi="Arial"/>
          <w:b/>
          <w:color w:val="2E4057"/>
          <w:sz w:val="26"/>
        </w:rPr>
        <w:t>4.4  Merging the Three Datasets</w:t>
      </w:r>
    </w:p>
    <w:p>
      <w:pPr>
        <w:spacing w:after="120"/>
      </w:pPr>
      <w:r>
        <w:rPr>
          <w:rFonts w:ascii="Arial" w:hAnsi="Arial"/>
          <w:sz w:val="22"/>
        </w:rPr>
        <w:t>After applying the above cleaning steps, the three dataframes were merged into a single tidy dataset using dplyr's bind_rows() function. This function stacks dataframes vertically, matching columns by name, which is appropriate here because all three files share the same column structure. The final merged dataset contains all sites across both catchments, spanning the full range of available years (2005 to 2022 for Kinzig; 2016 to 2022 for Boye and Rotbach/Schwarzbach).</w:t>
      </w:r>
    </w:p>
    <w:p>
      <w:pPr>
        <w:spacing w:before="240" w:after="80"/>
      </w:pPr>
      <w:r>
        <w:rPr>
          <w:rFonts w:ascii="Arial" w:hAnsi="Arial"/>
          <w:b/>
          <w:color w:val="2E4057"/>
          <w:sz w:val="26"/>
        </w:rPr>
        <w:t>4.5  Filtering to 2022</w:t>
      </w:r>
    </w:p>
    <w:p>
      <w:pPr>
        <w:spacing w:after="120"/>
      </w:pPr>
      <w:r>
        <w:rPr>
          <w:rFonts w:ascii="Arial" w:hAnsi="Arial"/>
          <w:sz w:val="22"/>
        </w:rPr>
        <w:t>Analysis was restricted to the most recent year common to all three datasets: 2022. This was achieved by filtering the merged dataset to retain only rows where Year == 2022. Focusing on a single year avoids temporal confounding when comparing land use composition across sites and catchments.</w:t>
      </w:r>
    </w:p>
    <w:p>
      <w:pPr>
        <w:spacing w:before="360" w:after="120"/>
      </w:pPr>
      <w:r>
        <w:rPr>
          <w:rFonts w:ascii="Arial" w:hAnsi="Arial"/>
          <w:b/>
          <w:color w:val="2E4057"/>
          <w:sz w:val="32"/>
        </w:rPr>
        <w:t>5. Land Use Classification</w:t>
      </w:r>
    </w:p>
    <w:p>
      <w:pPr>
        <w:spacing w:after="120"/>
      </w:pPr>
      <w:r>
        <w:rPr>
          <w:rFonts w:ascii="Arial" w:hAnsi="Arial"/>
          <w:sz w:val="22"/>
        </w:rPr>
        <w:t>The raw Value column contains 29 distinct numeric codes identifying specific land use types. To produce meaningful summaries, these were grouped into four broad categories using a case_when() statement in R. The classification was based on the descriptions and SWAT codes in the lookup table and follows conventions used in landscape ecology and catchment hydrology research.</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Category</w:t>
            </w:r>
          </w:p>
        </w:tc>
        <w:tc>
          <w:tcPr>
            <w:tcW w:type="dxa" w:w="2928"/>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Codes Included</w:t>
            </w:r>
          </w:p>
        </w:tc>
        <w:tc>
          <w:tcPr>
            <w:tcW w:type="dxa" w:w="2928"/>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Rationale</w:t>
            </w:r>
          </w:p>
        </w:tc>
      </w:tr>
      <w:tr>
        <w:tc>
          <w:tcPr>
            <w:tcW w:type="dxa" w:w="2928"/>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Agricultural</w:t>
            </w:r>
          </w:p>
        </w:tc>
        <w:tc>
          <w:tcPr>
            <w:tcW w:type="dxa" w:w="2928"/>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115, 121, 131, 132, 140, 155, 171, 311, 411, 422, 424, 459, 602, 9012, 9018, 9020, 9021</w:t>
            </w:r>
          </w:p>
        </w:tc>
        <w:tc>
          <w:tcPr>
            <w:tcW w:type="dxa" w:w="2928"/>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All crop types (cereals, maize, oilseed rape, potatoes), grass/pasture, and arable land classes. These represent actively managed farmland and grassland.</w:t>
            </w:r>
          </w:p>
        </w:tc>
      </w:tr>
      <w:tr>
        <w:tc>
          <w:tcPr>
            <w:tcW w:type="dxa" w:w="2928"/>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Industrial</w:t>
            </w:r>
          </w:p>
        </w:tc>
        <w:tc>
          <w:tcPr>
            <w:tcW w:type="dxa" w:w="2928"/>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9003, 9007, 9008</w:t>
            </w:r>
          </w:p>
        </w:tc>
        <w:tc>
          <w:tcPr>
            <w:tcW w:type="dxa" w:w="2928"/>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Industrial/commercial units, mineral extraction sites, and dump sites. These represent heavily disturbed, non-residential human land uses with high impervious surface cover.</w:t>
            </w:r>
          </w:p>
        </w:tc>
      </w:tr>
      <w:tr>
        <w:tc>
          <w:tcPr>
            <w:tcW w:type="dxa" w:w="2928"/>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Urban</w:t>
            </w:r>
          </w:p>
        </w:tc>
        <w:tc>
          <w:tcPr>
            <w:tcW w:type="dxa" w:w="2928"/>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9001, 9002, 9010, 9011</w:t>
            </w:r>
          </w:p>
        </w:tc>
        <w:tc>
          <w:tcPr>
            <w:tcW w:type="dxa" w:w="2928"/>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Dense and sparse urban fabric, green urban areas, and sport/leisure facilities. Represents residential and mixed urban development.</w:t>
            </w:r>
          </w:p>
        </w:tc>
      </w:tr>
      <w:tr>
        <w:tc>
          <w:tcPr>
            <w:tcW w:type="dxa" w:w="2928"/>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Rural/Natural</w:t>
            </w:r>
          </w:p>
        </w:tc>
        <w:tc>
          <w:tcPr>
            <w:tcW w:type="dxa" w:w="2928"/>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9023, 9024, 9025, 9029, 9040, 9041</w:t>
            </w:r>
          </w:p>
        </w:tc>
        <w:tc>
          <w:tcPr>
            <w:tcW w:type="dxa" w:w="2928"/>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Broad-leaved, coniferous, and mixed forest, transitional woodland-shrub, water courses, and water bodies. These are predominantly natural or semi-natural land covers.</w:t>
            </w:r>
          </w:p>
        </w:tc>
      </w:tr>
    </w:tbl>
    <w:p/>
    <w:p>
      <w:pPr>
        <w:spacing w:after="120"/>
      </w:pPr>
      <w:r>
        <w:rPr>
          <w:rFonts w:ascii="Arial" w:hAnsi="Arial"/>
          <w:sz w:val="22"/>
        </w:rPr>
        <w:t>A validation check confirmed that all 29 codes present in the 2022 data were successfully assigned to one of the four categories, with zero codes falling into an unclassified 'other' group. This ensures complete coverage and no loss of area in the summary calculations.</w:t>
      </w:r>
    </w:p>
    <w:p>
      <w:pPr>
        <w:spacing w:before="360" w:after="120"/>
      </w:pPr>
      <w:r>
        <w:rPr>
          <w:rFonts w:ascii="Arial" w:hAnsi="Arial"/>
          <w:b/>
          <w:color w:val="2E4057"/>
          <w:sz w:val="32"/>
        </w:rPr>
        <w:t>6. Summary Table Construction</w:t>
      </w:r>
    </w:p>
    <w:p>
      <w:pPr>
        <w:spacing w:after="120"/>
      </w:pPr>
      <w:r>
        <w:rPr>
          <w:rFonts w:ascii="Arial" w:hAnsi="Arial"/>
          <w:sz w:val="22"/>
        </w:rPr>
        <w:t>The final summary table was constructed by grouping the 2022 data by stream and site, then computing the following derived variables for each site. Area figures were summed across all land use codes belonging to each category. Percentage figures were then calculated as the ratio of each category area to the total site area, multiplied by 100. All percentage values were rounded to two decimal places.</w:t>
      </w:r>
    </w:p>
    <w:p>
      <w:pPr>
        <w:spacing w:after="120"/>
      </w:pPr>
      <w:r>
        <w:rPr>
          <w:rFonts w:ascii="Arial" w:hAnsi="Arial"/>
          <w:sz w:val="22"/>
        </w:rPr>
        <w:t>The summary table was exported to an Excel file (LandUse_Summary_2022.xlsx) using the openxlsx package in R, with column widths set automatically for readability.</w:t>
      </w:r>
    </w:p>
    <w:p>
      <w:r>
        <w:br w:type="page"/>
      </w:r>
    </w:p>
    <w:p>
      <w:pPr>
        <w:spacing w:before="360" w:after="120"/>
      </w:pPr>
      <w:r>
        <w:rPr>
          <w:rFonts w:ascii="Arial" w:hAnsi="Arial"/>
          <w:b/>
          <w:color w:val="2E4057"/>
          <w:sz w:val="32"/>
        </w:rPr>
        <w:t>7. Variable Metadata</w:t>
      </w:r>
    </w:p>
    <w:p>
      <w:pPr>
        <w:spacing w:after="120"/>
      </w:pPr>
      <w:r>
        <w:rPr>
          <w:rFonts w:ascii="Arial" w:hAnsi="Arial"/>
          <w:sz w:val="22"/>
        </w:rPr>
        <w:t>The table below documents all variables present in the final summary dataset (LandUse_Summary_2022.xlsx), including how each variable was derived and what it represents.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Variable</w:t>
            </w:r>
          </w:p>
        </w:tc>
        <w:tc>
          <w:tcPr>
            <w:tcW w:type="dxa" w:w="1440"/>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Type</w:t>
            </w:r>
          </w:p>
        </w:tc>
        <w:tc>
          <w:tcPr>
            <w:tcW w:type="dxa" w:w="2304"/>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Derived From</w:t>
            </w:r>
          </w:p>
        </w:tc>
        <w:tc>
          <w:tcPr>
            <w:tcW w:type="dxa" w:w="4176"/>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Description</w:t>
            </w:r>
          </w:p>
        </w:tc>
      </w:tr>
      <w:tr>
        <w:tc>
          <w:tcPr>
            <w:tcW w:type="dxa" w:w="2196"/>
            <w:shd w:val="clear" w:color="auto" w:fill="D9E8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stream</w:t>
            </w:r>
          </w:p>
        </w:tc>
        <w:tc>
          <w:tcPr>
            <w:tcW w:type="dxa" w:w="2196"/>
            <w:shd w:val="clear" w:color="auto" w:fill="D9E8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Character</w:t>
            </w:r>
          </w:p>
        </w:tc>
        <w:tc>
          <w:tcPr>
            <w:tcW w:type="dxa" w:w="2196"/>
            <w:shd w:val="clear" w:color="auto" w:fill="D9E8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Assigned manually</w:t>
            </w:r>
          </w:p>
        </w:tc>
        <w:tc>
          <w:tcPr>
            <w:tcW w:type="dxa" w:w="2196"/>
            <w:shd w:val="clear" w:color="auto" w:fill="D9E8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Name of the river catchment the site belongs to. Either 'Boye' or 'Kinzig'. Rotbach (ROTB) and Schwarzbach (SCHW) are classified as 'Boye' because they are tributaries of the Boye system.</w:t>
            </w:r>
          </w:p>
        </w:tc>
      </w:tr>
      <w:tr>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site</w:t>
            </w:r>
          </w:p>
        </w:tc>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Character</w:t>
            </w:r>
          </w:p>
        </w:tc>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Cleaned from raw Name column</w:t>
            </w:r>
          </w:p>
        </w:tc>
        <w:tc>
          <w:tcPr>
            <w:tcW w:type="dxa" w:w="2196"/>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Standardised monitoring site code. Underscores and inconsistent capitalisation were removed using a lookup table. Each site represents a distinct sub-catchment with a defined upstream drainage area.</w:t>
            </w:r>
          </w:p>
        </w:tc>
      </w:tr>
      <w:tr>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total_area</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(ha)</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sum(Area) per site</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 catchment area of the site in hectares, calculated by summing the Area values across all land use types recorded at that site in 2022. This represents the full drainage area upstream of the monitoring point.</w:t>
            </w:r>
          </w:p>
        </w:tc>
      </w:tr>
      <w:tr>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total_area_agric</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(ha)</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sum(Area) where category == 'agricultural'</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 area in hectares classified as agricultural land use within the site catchment. Includes all crop types, grassland, pasture, and arable land codes (see Section 5).</w:t>
            </w:r>
          </w:p>
        </w:tc>
      </w:tr>
      <w:tr>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total_area_industrial</w:t>
            </w:r>
          </w:p>
        </w:tc>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(ha)</w:t>
            </w:r>
          </w:p>
        </w:tc>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sum(Area) where category == 'industrial'</w:t>
            </w:r>
          </w:p>
        </w:tc>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 area in hectares classified as industrial land use. Includes industrial/commercial units, mineral extraction sites, and dump sites. Many rural and forested sites record 0 ha here.</w:t>
            </w:r>
          </w:p>
        </w:tc>
      </w:tr>
      <w:tr>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total_area_urban</w:t>
            </w:r>
          </w:p>
        </w:tc>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(ha)</w:t>
            </w:r>
          </w:p>
        </w:tc>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sum(Area) where category == 'urban'</w:t>
            </w:r>
          </w:p>
        </w:tc>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 area in hectares classified as urban land use. Includes dense and sparse urban fabric, green urban areas, and sport/leisure facilities.</w:t>
            </w:r>
          </w:p>
        </w:tc>
      </w:tr>
      <w:tr>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total_area_rural</w:t>
            </w:r>
          </w:p>
        </w:tc>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(ha)</w:t>
            </w:r>
          </w:p>
        </w:tc>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sum(Area) where category == 'rural/natural'</w:t>
            </w:r>
          </w:p>
        </w:tc>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 area in hectares classified as rural or natural land cover. Includes all forest types, transitional woodland-shrub, water courses, and water bodies.</w:t>
            </w:r>
          </w:p>
        </w:tc>
      </w:tr>
      <w:tr>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pct_agricultural</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total_area_agric / total_area * 100</w:t>
            </w:r>
          </w:p>
        </w:tc>
        <w:tc>
          <w:tcPr>
            <w:tcW w:type="dxa" w:w="2196"/>
            <w:shd w:val="clear" w:color="auto" w:fill="C8E6C9"/>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Percentage of the site catchment covered by agricultural land use. Calculated as the ratio of total_area_agric to total_area, multiplied by 100 and rounded to 2 decimal places. High values indicate agriculturally dominated catchments (e.g., BOYkl: 92.92%).</w:t>
            </w:r>
          </w:p>
        </w:tc>
      </w:tr>
      <w:tr>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pct_industrial</w:t>
            </w:r>
          </w:p>
        </w:tc>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w:t>
            </w:r>
          </w:p>
        </w:tc>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total_area_industrial / total_area * 100</w:t>
            </w:r>
          </w:p>
        </w:tc>
        <w:tc>
          <w:tcPr>
            <w:tcW w:type="dxa" w:w="2196"/>
            <w:shd w:val="clear" w:color="auto" w:fill="FFE0B2"/>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Percentage of the site catchment covered by industrial land use. Typically low except at sites with known mineral extraction or heavy industry (e.g., HAAun: 12.37%).</w:t>
            </w:r>
          </w:p>
        </w:tc>
      </w:tr>
      <w:tr>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pct_urban</w:t>
            </w:r>
          </w:p>
        </w:tc>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w:t>
            </w:r>
          </w:p>
        </w:tc>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total_area_urban / total_area * 100</w:t>
            </w:r>
          </w:p>
        </w:tc>
        <w:tc>
          <w:tcPr>
            <w:tcW w:type="dxa" w:w="2196"/>
            <w:shd w:val="clear" w:color="auto" w:fill="F8BBD0"/>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Percentage of the site catchment covered by urban land use. High values indicate strongly urbanised catchments (e.g., KIRob: 97.63%, KIRun: 97.71%). Used as a key indicator of urban pressure on stream ecology.</w:t>
            </w:r>
          </w:p>
        </w:tc>
      </w:tr>
      <w:tr>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pct_rural</w:t>
            </w:r>
          </w:p>
        </w:tc>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Numeric (%)</w:t>
            </w:r>
          </w:p>
        </w:tc>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total_area_rural / total_area * 100</w:t>
            </w:r>
          </w:p>
        </w:tc>
        <w:tc>
          <w:tcPr>
            <w:tcW w:type="dxa" w:w="2196"/>
            <w:shd w:val="clear" w:color="auto" w:fill="E1BEE7"/>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Percentage of the site catchment covered by rural or natural land cover. High values indicate forested or near-natural catchments (e.g., ROTB: 79.28%, ORB1: 78.92%).</w:t>
            </w:r>
          </w:p>
        </w:tc>
      </w:tr>
    </w:tbl>
    <w:p/>
    <w:p>
      <w:pPr>
        <w:spacing w:before="360" w:after="120"/>
      </w:pPr>
      <w:r>
        <w:rPr>
          <w:rFonts w:ascii="Arial" w:hAnsi="Arial"/>
          <w:b/>
          <w:color w:val="2E4057"/>
          <w:sz w:val="32"/>
        </w:rPr>
        <w:t>8. Key Findings from the 2022 Summary</w:t>
      </w:r>
    </w:p>
    <w:p>
      <w:pPr>
        <w:spacing w:after="120"/>
      </w:pPr>
      <w:r>
        <w:rPr>
          <w:rFonts w:ascii="Arial" w:hAnsi="Arial"/>
          <w:sz w:val="22"/>
        </w:rPr>
        <w:t>The cleaned and classified summary data reveals clear differences in land use composition between and within the two catchments:</w:t>
      </w:r>
    </w:p>
    <w:p>
      <w:pPr>
        <w:pStyle w:val="ListBullet"/>
        <w:spacing w:after="80"/>
      </w:pPr>
      <w:r>
        <w:rPr>
          <w:rFonts w:ascii="Arial" w:hAnsi="Arial"/>
          <w:b/>
          <w:sz w:val="22"/>
        </w:rPr>
        <w:t xml:space="preserve">Boye catchment — strong urban gradient: </w:t>
      </w:r>
      <w:r>
        <w:rPr>
          <w:rFonts w:ascii="Arial" w:hAnsi="Arial"/>
          <w:sz w:val="22"/>
        </w:rPr>
        <w:t>Sites range from almost entirely agricultural (BOYkl: 92.9% agricultural) to almost entirely urban (KIRob and KIRun: &gt;97% urban). This makes the Boye well-suited for studying urban pressure gradients on stream biology.</w:t>
      </w:r>
    </w:p>
    <w:p>
      <w:pPr>
        <w:pStyle w:val="ListBullet"/>
        <w:spacing w:after="80"/>
      </w:pPr>
      <w:r>
        <w:rPr>
          <w:rFonts w:ascii="Arial" w:hAnsi="Arial"/>
          <w:b/>
          <w:sz w:val="22"/>
        </w:rPr>
        <w:t xml:space="preserve">Kinzig catchment — agricultural and forested: </w:t>
      </w:r>
      <w:r>
        <w:rPr>
          <w:rFonts w:ascii="Arial" w:hAnsi="Arial"/>
          <w:sz w:val="22"/>
        </w:rPr>
        <w:t>No Kinzig site exceeds 10% urban cover. The catchment is split between agricultural sites (SAL, STE, KRE, FAL: ~68-71% agricultural) and heavily forested sites (ORB1, ORB2, BIE1, BIE2: &gt;74% rural/natural).</w:t>
      </w:r>
    </w:p>
    <w:p>
      <w:pPr>
        <w:pStyle w:val="ListBullet"/>
        <w:spacing w:after="80"/>
      </w:pPr>
      <w:r>
        <w:rPr>
          <w:rFonts w:ascii="Arial" w:hAnsi="Arial"/>
          <w:b/>
          <w:sz w:val="22"/>
        </w:rPr>
        <w:t xml:space="preserve">Industrial land use is minor but present: </w:t>
      </w:r>
      <w:r>
        <w:rPr>
          <w:rFonts w:ascii="Arial" w:hAnsi="Arial"/>
          <w:sz w:val="22"/>
        </w:rPr>
        <w:t>Industrial cover is low across most sites (&lt;5%), with the notable exception of HAAun (12.37%) and QUAohBo (10.69%) in the Boye catchment.</w:t>
      </w:r>
    </w:p>
    <w:p>
      <w:pPr>
        <w:pStyle w:val="ListBullet"/>
        <w:spacing w:after="80"/>
      </w:pPr>
      <w:r>
        <w:rPr>
          <w:rFonts w:ascii="Arial" w:hAnsi="Arial"/>
          <w:b/>
          <w:sz w:val="22"/>
        </w:rPr>
        <w:t xml:space="preserve">Rotbach and Schwarzbach are near-natural: </w:t>
      </w:r>
      <w:r>
        <w:rPr>
          <w:rFonts w:ascii="Arial" w:hAnsi="Arial"/>
          <w:sz w:val="22"/>
        </w:rPr>
        <w:t>ROTB (79.28% rural) and SCHW (68.81% rural) are the most forest-dominated sites in the Boye catchment, contrasting sharply with the highly urbanised main-stem sites.</w:t>
      </w:r>
    </w:p>
    <w:p>
      <w:pPr>
        <w:pStyle w:val="ListBullet"/>
        <w:spacing w:after="80"/>
      </w:pPr>
      <w:r>
        <w:rPr>
          <w:rFonts w:ascii="Arial" w:hAnsi="Arial"/>
          <w:b/>
          <w:sz w:val="22"/>
        </w:rPr>
        <w:t xml:space="preserve">Complete classification achieved: </w:t>
      </w:r>
      <w:r>
        <w:rPr>
          <w:rFonts w:ascii="Arial" w:hAnsi="Arial"/>
          <w:sz w:val="22"/>
        </w:rPr>
        <w:t>All 29 land use codes present in the 2022 data were successfully assigned to a category, with no unclassified area remaining.</w:t>
      </w:r>
    </w:p>
    <w:p/>
    <w:p>
      <w:pPr>
        <w:spacing w:before="360" w:after="120"/>
      </w:pPr>
      <w:r>
        <w:rPr>
          <w:rFonts w:ascii="Arial" w:hAnsi="Arial"/>
          <w:b/>
          <w:color w:val="2E4057"/>
          <w:sz w:val="32"/>
        </w:rPr>
        <w:t>9. Software and Packages Used</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Package / Tool</w:t>
            </w:r>
          </w:p>
        </w:tc>
        <w:tc>
          <w:tcPr>
            <w:tcW w:type="dxa" w:w="4392"/>
            <w:shd w:val="clear" w:color="auto" w:fill="2E4057"/>
            <w:tcBorders>
              <w:top w:val="single" w:sz="4" w:space="0" w:color="CCCCCC"/>
              <w:left w:val="single" w:sz="4" w:space="0" w:color="CCCCCC"/>
              <w:bottom w:val="single" w:sz="4" w:space="0" w:color="CCCCCC"/>
              <w:right w:val="single" w:sz="4" w:space="0" w:color="CCCCCC"/>
            </w:tcBorders>
            <w:vAlign w:val="center"/>
          </w:tcPr>
          <w:p>
            <w:pPr>
              <w:jc w:val="center"/>
            </w:pPr>
            <w:r>
              <w:rPr>
                <w:rFonts w:ascii="Arial" w:hAnsi="Arial"/>
                <w:b/>
                <w:color w:val="FFFFFF"/>
                <w:sz w:val="20"/>
              </w:rPr>
              <w:t>Purpose</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R (base)</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Data loading, filtering, and type conversion</w:t>
            </w:r>
          </w:p>
        </w:tc>
      </w:tr>
      <w:tr>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dplyr</w:t>
            </w:r>
          </w:p>
        </w:tc>
        <w:tc>
          <w:tcPr>
            <w:tcW w:type="dxa" w:w="439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Data manipulation: mutate(), filter(), group_by(), summarise(), case_when(), recode(), bind_rows()</w:t>
            </w:r>
          </w:p>
        </w:tc>
      </w:tr>
      <w:tr>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sz w:val="20"/>
              </w:rPr>
              <w:t>openxlsx</w:t>
            </w:r>
          </w:p>
        </w:tc>
        <w:tc>
          <w:tcPr>
            <w:tcW w:type="dxa" w:w="4392"/>
            <w:shd w:val="clear" w:color="auto" w:fill="F5F5F5"/>
            <w:tcBorders>
              <w:top w:val="single" w:sz="4" w:space="0" w:color="CCCCCC"/>
              <w:left w:val="single" w:sz="4" w:space="0" w:color="CCCCCC"/>
              <w:bottom w:val="single" w:sz="4" w:space="0" w:color="CCCCCC"/>
              <w:right w:val="single" w:sz="4" w:space="0" w:color="CCCCCC"/>
            </w:tcBorders>
            <w:vAlign w:val="center"/>
          </w:tcPr>
          <w:p>
            <w:pPr>
              <w:jc w:val="left"/>
            </w:pPr>
            <w:r>
              <w:rPr>
                <w:rFonts w:ascii="Arial" w:hAnsi="Arial"/>
                <w:b w:val="0"/>
                <w:sz w:val="20"/>
              </w:rPr>
              <w:t>Exporting the final summary table to a formatted Excel workbook</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