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Water Quality Data Processing Report</w:t>
      </w:r>
    </w:p>
    <w:p>
      <w:pPr>
        <w:spacing w:before="0" w:after="80"/>
        <w:jc w:val="center"/>
      </w:pPr>
      <w:r>
        <w:rPr>
          <w:rFonts w:ascii="Arial" w:cs="Arial" w:eastAsia="Arial" w:hAnsi="Arial"/>
          <w:color w:val="555555"/>
          <w:sz w:val="28"/>
          <w:szCs w:val="28"/>
        </w:rPr>
        <w:t xml:space="preserve">Boye System &amp; Kinzig System — March 2025</w:t>
      </w:r>
    </w:p>
    <w:p>
      <w:pPr>
        <w:spacing w:before="0" w:after="480"/>
        <w:jc w:val="center"/>
      </w:pPr>
      <w:r>
        <w:rPr>
          <w:rFonts w:ascii="Arial" w:cs="Arial" w:eastAsia="Arial" w:hAnsi="Arial"/>
          <w:color w:val="888888"/>
          <w:sz w:val="22"/>
          <w:szCs w:val="22"/>
        </w:rPr>
        <w:t xml:space="preserve">SFB RESIST Water Quality Monitoring Programme</w:t>
      </w:r>
    </w:p>
    <w:p>
      <w:pPr>
        <w:pStyle w:val="Heading1"/>
        <w:spacing w:before="320" w:after="160"/>
      </w:pPr>
      <w:r>
        <w:rPr>
          <w:rFonts w:ascii="Arial" w:cs="Arial" w:eastAsia="Arial" w:hAnsi="Arial"/>
          <w:b/>
          <w:bCs/>
          <w:color w:val="1F4E79"/>
          <w:sz w:val="32"/>
          <w:szCs w:val="32"/>
        </w:rPr>
        <w:t xml:space="preserve">1. Overview</w:t>
      </w:r>
    </w:p>
    <w:p>
      <w:pPr>
        <w:spacing w:before="80" w:after="120" w:line="276" w:lineRule="auto"/>
      </w:pPr>
      <w:r>
        <w:rPr>
          <w:rFonts w:ascii="Arial" w:cs="Arial" w:eastAsia="Arial" w:hAnsi="Arial"/>
          <w:sz w:val="22"/>
          <w:szCs w:val="22"/>
        </w:rPr>
        <w:t xml:space="preserve">This document describes the steps taken to read, clean, merge, and summarise water quality data collected from the Boye and Kinzig river systems during March 2025 as part of the SFB RESIST monitoring programme. The final output is a single, analysis-ready spreadsheet (March2025_Water_Analysis_Clean.xlsx) containing one row per sampling site.</w:t>
      </w:r>
    </w:p>
    <w:p>
      <w:r>
        <w:t xml:space="preserve"/>
      </w:r>
    </w:p>
    <w:p>
      <w:pPr>
        <w:pStyle w:val="Heading1"/>
        <w:spacing w:before="320" w:after="160"/>
      </w:pPr>
      <w:r>
        <w:rPr>
          <w:rFonts w:ascii="Arial" w:cs="Arial" w:eastAsia="Arial" w:hAnsi="Arial"/>
          <w:b/>
          <w:bCs/>
          <w:color w:val="1F4E79"/>
          <w:sz w:val="32"/>
          <w:szCs w:val="32"/>
        </w:rPr>
        <w:t xml:space="preserve">2. Data Sources</w:t>
      </w:r>
    </w:p>
    <w:p>
      <w:pPr>
        <w:pStyle w:val="Heading2"/>
        <w:spacing w:before="240" w:after="120"/>
      </w:pPr>
      <w:r>
        <w:rPr>
          <w:rFonts w:ascii="Arial" w:cs="Arial" w:eastAsia="Arial" w:hAnsi="Arial"/>
          <w:b/>
          <w:bCs/>
          <w:color w:val="2E75B6"/>
          <w:sz w:val="24"/>
          <w:szCs w:val="24"/>
        </w:rPr>
        <w:t xml:space="preserve">2.1  Boye System</w:t>
      </w:r>
    </w:p>
    <w:p>
      <w:pPr>
        <w:spacing w:before="80" w:after="120" w:line="276" w:lineRule="auto"/>
      </w:pPr>
      <w:r>
        <w:rPr>
          <w:rFonts w:ascii="Arial" w:cs="Arial" w:eastAsia="Arial" w:hAnsi="Arial"/>
          <w:sz w:val="22"/>
          <w:szCs w:val="22"/>
        </w:rPr>
        <w:t xml:space="preserve">File: 2025Wasserprobenanalyse_SFB_RESIST_Boye_System.xlsx</w:t>
      </w:r>
    </w:p>
    <w:p>
      <w:pPr>
        <w:pStyle w:val="ListParagraph"/>
        <w:numPr>
          <w:ilvl w:val="0"/>
          <w:numId w:val="2"/>
        </w:numPr>
      </w:pPr>
      <w:r>
        <w:rPr>
          <w:rFonts w:ascii="Arial" w:cs="Arial" w:eastAsia="Arial" w:hAnsi="Arial"/>
          <w:sz w:val="22"/>
          <w:szCs w:val="22"/>
        </w:rPr>
        <w:t xml:space="preserve">23 sampling sites</w:t>
      </w:r>
    </w:p>
    <w:p>
      <w:pPr>
        <w:pStyle w:val="ListParagraph"/>
        <w:numPr>
          <w:ilvl w:val="0"/>
          <w:numId w:val="2"/>
        </w:numPr>
      </w:pPr>
      <w:r>
        <w:rPr>
          <w:rFonts w:ascii="Arial" w:cs="Arial" w:eastAsia="Arial" w:hAnsi="Arial"/>
          <w:sz w:val="22"/>
          <w:szCs w:val="22"/>
        </w:rPr>
        <w:t xml:space="preserve">Two March 2025 sampling events: 4 March 2025 and 17 March 2025</w:t>
      </w:r>
    </w:p>
    <w:p>
      <w:pPr>
        <w:pStyle w:val="ListParagraph"/>
        <w:numPr>
          <w:ilvl w:val="0"/>
          <w:numId w:val="2"/>
        </w:numPr>
      </w:pPr>
      <w:r>
        <w:rPr>
          <w:rFonts w:ascii="Arial" w:cs="Arial" w:eastAsia="Arial" w:hAnsi="Arial"/>
          <w:sz w:val="22"/>
          <w:szCs w:val="22"/>
        </w:rPr>
        <w:t xml:space="preserve">Sheet ‘every watersample’: nutrients (phosphate, nitrogen species, chloride, sulfate)</w:t>
      </w:r>
    </w:p>
    <w:p>
      <w:pPr>
        <w:pStyle w:val="ListParagraph"/>
        <w:numPr>
          <w:ilvl w:val="0"/>
          <w:numId w:val="2"/>
        </w:numPr>
      </w:pPr>
      <w:r>
        <w:rPr>
          <w:rFonts w:ascii="Arial" w:cs="Arial" w:eastAsia="Arial" w:hAnsi="Arial"/>
          <w:sz w:val="22"/>
          <w:szCs w:val="22"/>
        </w:rPr>
        <w:t xml:space="preserve">Sheet ‘once a month’: trace metals (Cd, Cu, Fe, Ni, Pb, Zn) and major ions (Ca, Mg, Na, K, carbonate, HCO3)</w:t>
      </w:r>
    </w:p>
    <w:p>
      <w:r>
        <w:t xml:space="preserve"/>
      </w:r>
    </w:p>
    <w:p>
      <w:pPr>
        <w:pStyle w:val="Heading2"/>
        <w:spacing w:before="240" w:after="120"/>
      </w:pPr>
      <w:r>
        <w:rPr>
          <w:rFonts w:ascii="Arial" w:cs="Arial" w:eastAsia="Arial" w:hAnsi="Arial"/>
          <w:b/>
          <w:bCs/>
          <w:color w:val="2E75B6"/>
          <w:sz w:val="24"/>
          <w:szCs w:val="24"/>
        </w:rPr>
        <w:t xml:space="preserve">2.2  Kinzig System</w:t>
      </w:r>
    </w:p>
    <w:p>
      <w:pPr>
        <w:spacing w:before="80" w:after="120" w:line="276" w:lineRule="auto"/>
      </w:pPr>
      <w:r>
        <w:rPr>
          <w:rFonts w:ascii="Arial" w:cs="Arial" w:eastAsia="Arial" w:hAnsi="Arial"/>
          <w:sz w:val="22"/>
          <w:szCs w:val="22"/>
        </w:rPr>
        <w:t xml:space="preserve">File: 2025Wasserprobenanalyse_SFB_RESIST_Kinzig_System.xlsx</w:t>
      </w:r>
    </w:p>
    <w:p>
      <w:pPr>
        <w:pStyle w:val="ListParagraph"/>
        <w:numPr>
          <w:ilvl w:val="0"/>
          <w:numId w:val="2"/>
        </w:numPr>
      </w:pPr>
      <w:r>
        <w:rPr>
          <w:rFonts w:ascii="Arial" w:cs="Arial" w:eastAsia="Arial" w:hAnsi="Arial"/>
          <w:sz w:val="22"/>
          <w:szCs w:val="22"/>
        </w:rPr>
        <w:t xml:space="preserve">21 sampling sites</w:t>
      </w:r>
    </w:p>
    <w:p>
      <w:pPr>
        <w:pStyle w:val="ListParagraph"/>
        <w:numPr>
          <w:ilvl w:val="0"/>
          <w:numId w:val="2"/>
        </w:numPr>
      </w:pPr>
      <w:r>
        <w:rPr>
          <w:rFonts w:ascii="Arial" w:cs="Arial" w:eastAsia="Arial" w:hAnsi="Arial"/>
          <w:sz w:val="22"/>
          <w:szCs w:val="22"/>
        </w:rPr>
        <w:t xml:space="preserve">Two March 2025 sampling events: 10 March 2025 and 24 March 2025</w:t>
      </w:r>
    </w:p>
    <w:p>
      <w:pPr>
        <w:pStyle w:val="ListParagraph"/>
        <w:numPr>
          <w:ilvl w:val="0"/>
          <w:numId w:val="2"/>
        </w:numPr>
      </w:pPr>
      <w:r>
        <w:rPr>
          <w:rFonts w:ascii="Arial" w:cs="Arial" w:eastAsia="Arial" w:hAnsi="Arial"/>
          <w:sz w:val="22"/>
          <w:szCs w:val="22"/>
        </w:rPr>
        <w:t xml:space="preserve">Same sheet structure as the Boye system</w:t>
      </w:r>
    </w:p>
    <w:p>
      <w:r>
        <w:t xml:space="preserve"/>
      </w:r>
    </w:p>
    <w:p>
      <w:pPr>
        <w:pStyle w:val="Heading1"/>
        <w:spacing w:before="320" w:after="160"/>
      </w:pPr>
      <w:r>
        <w:rPr>
          <w:rFonts w:ascii="Arial" w:cs="Arial" w:eastAsia="Arial" w:hAnsi="Arial"/>
          <w:b/>
          <w:bCs/>
          <w:color w:val="1F4E79"/>
          <w:sz w:val="32"/>
          <w:szCs w:val="32"/>
        </w:rPr>
        <w:t xml:space="preserve">3. Data Cleaning Steps</w:t>
      </w:r>
    </w:p>
    <w:p>
      <w:pPr>
        <w:pStyle w:val="Heading2"/>
        <w:spacing w:before="240" w:after="120"/>
      </w:pPr>
      <w:r>
        <w:rPr>
          <w:rFonts w:ascii="Arial" w:cs="Arial" w:eastAsia="Arial" w:hAnsi="Arial"/>
          <w:b/>
          <w:bCs/>
          <w:color w:val="2E75B6"/>
          <w:sz w:val="24"/>
          <w:szCs w:val="24"/>
        </w:rPr>
        <w:t xml:space="preserve">3.1  Date Formatting</w:t>
      </w:r>
    </w:p>
    <w:p>
      <w:pPr>
        <w:spacing w:before="80" w:after="120" w:line="276" w:lineRule="auto"/>
      </w:pPr>
      <w:r>
        <w:rPr>
          <w:rFonts w:ascii="Arial" w:cs="Arial" w:eastAsia="Arial" w:hAnsi="Arial"/>
          <w:sz w:val="22"/>
          <w:szCs w:val="22"/>
        </w:rPr>
        <w:t xml:space="preserve">Raw Excel date-time values were converted to date-only format (YYYY-MM-DD) by applying as.Date() in R, removing any time component stored by Excel.</w:t>
      </w:r>
    </w:p>
    <w:p>
      <w:r>
        <w:t xml:space="preserve"/>
      </w:r>
    </w:p>
    <w:p>
      <w:pPr>
        <w:pStyle w:val="Heading2"/>
        <w:spacing w:before="240" w:after="120"/>
      </w:pPr>
      <w:r>
        <w:rPr>
          <w:rFonts w:ascii="Arial" w:cs="Arial" w:eastAsia="Arial" w:hAnsi="Arial"/>
          <w:b/>
          <w:bCs/>
          <w:color w:val="2E75B6"/>
          <w:sz w:val="24"/>
          <w:szCs w:val="24"/>
        </w:rPr>
        <w:t xml:space="preserve">3.2  Removal of Empty Columns</w:t>
      </w:r>
    </w:p>
    <w:p>
      <w:pPr>
        <w:spacing w:before="80" w:after="120" w:line="276" w:lineRule="auto"/>
      </w:pPr>
      <w:r>
        <w:rPr>
          <w:rFonts w:ascii="Arial" w:cs="Arial" w:eastAsia="Arial" w:hAnsi="Arial"/>
          <w:sz w:val="22"/>
          <w:szCs w:val="22"/>
        </w:rPr>
        <w:t xml:space="preserve">Several columns contained no data across all rows for March 2025 (e.g. DOC, turbidity/fine sediment load, SO4²⁻ for Kinzig, Cl⁻ for Kinzig). These columns were dropped automatically using a helper function that removes any column where all values are NA. This avoids carrying empty stubs into the analysis dataset.</w:t>
      </w:r>
    </w:p>
    <w:p>
      <w:r>
        <w:t xml:space="preserve"/>
      </w:r>
    </w:p>
    <w:p>
      <w:pPr>
        <w:pStyle w:val="Heading2"/>
        <w:spacing w:before="240" w:after="120"/>
      </w:pPr>
      <w:r>
        <w:rPr>
          <w:rFonts w:ascii="Arial" w:cs="Arial" w:eastAsia="Arial" w:hAnsi="Arial"/>
          <w:b/>
          <w:bCs/>
          <w:color w:val="2E75B6"/>
          <w:sz w:val="24"/>
          <w:szCs w:val="24"/>
        </w:rPr>
        <w:t xml:space="preserve">3.3  Removal of Junk Columns</w:t>
      </w:r>
    </w:p>
    <w:p>
      <w:pPr>
        <w:spacing w:before="80" w:after="120" w:line="276" w:lineRule="auto"/>
      </w:pPr>
      <w:r>
        <w:rPr>
          <w:rFonts w:ascii="Arial" w:cs="Arial" w:eastAsia="Arial" w:hAnsi="Arial"/>
          <w:sz w:val="22"/>
          <w:szCs w:val="22"/>
        </w:rPr>
        <w:t xml:space="preserve">readxl sometimes reads trailing unnamed columns from Excel files (labelled ...N). These were removed by filtering out any column whose name matches the pattern “...N”.</w:t>
      </w:r>
    </w:p>
    <w:p>
      <w:r>
        <w:t xml:space="preserve"/>
      </w:r>
    </w:p>
    <w:p>
      <w:pPr>
        <w:pStyle w:val="Heading2"/>
        <w:spacing w:before="240" w:after="120"/>
      </w:pPr>
      <w:r>
        <w:rPr>
          <w:rFonts w:ascii="Arial" w:cs="Arial" w:eastAsia="Arial" w:hAnsi="Arial"/>
          <w:b/>
          <w:bCs/>
          <w:color w:val="2E75B6"/>
          <w:sz w:val="24"/>
          <w:szCs w:val="24"/>
        </w:rPr>
        <w:t xml:space="preserve">3.4  Merging Nutrients and Metals into One Table</w:t>
      </w:r>
    </w:p>
    <w:p>
      <w:pPr>
        <w:spacing w:before="80" w:after="120" w:line="276" w:lineRule="auto"/>
      </w:pPr>
      <w:r>
        <w:rPr>
          <w:rFonts w:ascii="Arial" w:cs="Arial" w:eastAsia="Arial" w:hAnsi="Arial"/>
          <w:sz w:val="22"/>
          <w:szCs w:val="22"/>
        </w:rPr>
        <w:t xml:space="preserve">Within each system the two sheets (‘every watersample’ and ‘once a month’) were combined by column position into a single wide table, with the duplicate stream/date/site columns that appeared in columns 16–18 of the merged Excel file dropped. The two systems (Boye and Kinzig) were then stacked vertically using bind_rows(), with a ‘stream’ column added to identify the source system.</w:t>
      </w:r>
    </w:p>
    <w:p>
      <w:r>
        <w:t xml:space="preserve"/>
      </w:r>
    </w:p>
    <w:p>
      <w:pPr>
        <w:pStyle w:val="Heading2"/>
        <w:spacing w:before="240" w:after="120"/>
      </w:pPr>
      <w:r>
        <w:rPr>
          <w:rFonts w:ascii="Arial" w:cs="Arial" w:eastAsia="Arial" w:hAnsi="Arial"/>
          <w:b/>
          <w:bCs/>
          <w:color w:val="2E75B6"/>
          <w:sz w:val="24"/>
          <w:szCs w:val="24"/>
        </w:rPr>
        <w:t xml:space="preserve">3.5  Numeric Type Enforcement</w:t>
      </w:r>
    </w:p>
    <w:p>
      <w:pPr>
        <w:spacing w:before="80" w:after="120" w:line="276" w:lineRule="auto"/>
      </w:pPr>
      <w:r>
        <w:rPr>
          <w:rFonts w:ascii="Arial" w:cs="Arial" w:eastAsia="Arial" w:hAnsi="Arial"/>
          <w:sz w:val="22"/>
          <w:szCs w:val="22"/>
        </w:rPr>
        <w:t xml:space="preserve">All measurement columns were cast to numeric using as.numeric() and rounded to a maximum of four decimal places. This resolved mixed-type conflicts caused by character values in trailing unnamed columns.</w:t>
      </w:r>
    </w:p>
    <w:p>
      <w:r>
        <w:t xml:space="preserve"/>
      </w:r>
    </w:p>
    <w:p>
      <w:pPr>
        <w:pStyle w:val="Heading1"/>
        <w:spacing w:before="320" w:after="160"/>
      </w:pPr>
      <w:r>
        <w:rPr>
          <w:rFonts w:ascii="Arial" w:cs="Arial" w:eastAsia="Arial" w:hAnsi="Arial"/>
          <w:b/>
          <w:bCs/>
          <w:color w:val="1F4E79"/>
          <w:sz w:val="32"/>
          <w:szCs w:val="32"/>
        </w:rPr>
        <w:t xml:space="preserve">4. Averaging Method</w:t>
      </w:r>
    </w:p>
    <w:p>
      <w:pPr>
        <w:spacing w:before="80" w:after="120" w:line="276" w:lineRule="auto"/>
      </w:pPr>
      <w:r>
        <w:rPr>
          <w:rFonts w:ascii="Arial" w:cs="Arial" w:eastAsia="Arial" w:hAnsi="Arial"/>
          <w:sz w:val="22"/>
          <w:szCs w:val="22"/>
        </w:rPr>
        <w:t xml:space="preserve">Each sampling site in both systems was visited twice during March 2025. To produce a single representative value per site for the month, all numeric measurement columns were averaged across the two sampling dates using the arithmetic mean (mean(), with na.rm = TRUE to handle any missing values).</w:t>
      </w:r>
    </w:p>
    <w:p>
      <w:r>
        <w:t xml:space="preserve"/>
      </w:r>
    </w:p>
    <w:p>
      <w:pPr>
        <w:spacing w:before="80" w:after="120" w:line="276" w:lineRule="auto"/>
      </w:pPr>
      <w:r>
        <w:rPr>
          <w:rFonts w:ascii="Arial" w:cs="Arial" w:eastAsia="Arial" w:hAnsi="Arial"/>
          <w:sz w:val="22"/>
          <w:szCs w:val="22"/>
        </w:rPr>
        <w:t xml:space="preserve">The resulting dataset contains one row per site (23 Boye sites + 21 Kinzig sites = 44 rows total). Column names in the output file are unchanged from the measured variable names — no notation indicating that values are averages has been added to the column headers. The averaging method is documented here and should be referenced in any publication or analysis using this dataset.</w:t>
      </w:r>
    </w:p>
    <w:p>
      <w:r>
        <w:t xml:space="preserve"/>
      </w:r>
    </w:p>
    <w:p>
      <w:pPr>
        <w:pStyle w:val="Heading1"/>
        <w:spacing w:before="320" w:after="160"/>
      </w:pPr>
      <w:r>
        <w:rPr>
          <w:rFonts w:ascii="Arial" w:cs="Arial" w:eastAsia="Arial" w:hAnsi="Arial"/>
          <w:b/>
          <w:bCs/>
          <w:color w:val="1F4E79"/>
          <w:sz w:val="32"/>
          <w:szCs w:val="32"/>
        </w:rPr>
        <w:t xml:space="preserve">5. Output File</w:t>
      </w:r>
    </w:p>
    <w:p>
      <w:pPr>
        <w:spacing w:before="80" w:after="120" w:line="276" w:lineRule="auto"/>
      </w:pPr>
      <w:r>
        <w:rPr>
          <w:rFonts w:ascii="Arial" w:cs="Arial" w:eastAsia="Arial" w:hAnsi="Arial"/>
          <w:sz w:val="22"/>
          <w:szCs w:val="22"/>
        </w:rPr>
        <w:t xml:space="preserve">Output file: March2025_Water_Analysis_Clean.xlsx</w:t>
      </w:r>
    </w:p>
    <w:p>
      <w:pPr>
        <w:pStyle w:val="ListParagraph"/>
        <w:numPr>
          <w:ilvl w:val="0"/>
          <w:numId w:val="2"/>
        </w:numPr>
      </w:pPr>
      <w:r>
        <w:rPr>
          <w:rFonts w:ascii="Arial" w:cs="Arial" w:eastAsia="Arial" w:hAnsi="Arial"/>
          <w:sz w:val="22"/>
          <w:szCs w:val="22"/>
        </w:rPr>
        <w:t xml:space="preserve">Sheet ‘March2025’: 44 rows (one per site) × 23 columns (stream, date, site + 20 water quality variables)</w:t>
      </w:r>
    </w:p>
    <w:p>
      <w:pPr>
        <w:pStyle w:val="ListParagraph"/>
        <w:numPr>
          <w:ilvl w:val="0"/>
          <w:numId w:val="2"/>
        </w:numPr>
      </w:pPr>
      <w:r>
        <w:rPr>
          <w:rFonts w:ascii="Arial" w:cs="Arial" w:eastAsia="Arial" w:hAnsi="Arial"/>
          <w:sz w:val="22"/>
          <w:szCs w:val="22"/>
        </w:rPr>
        <w:t xml:space="preserve">Values rounded to 4 decimal places</w:t>
      </w:r>
    </w:p>
    <w:p>
      <w:pPr>
        <w:pStyle w:val="ListParagraph"/>
        <w:numPr>
          <w:ilvl w:val="0"/>
          <w:numId w:val="2"/>
        </w:numPr>
      </w:pPr>
      <w:r>
        <w:rPr>
          <w:rFonts w:ascii="Arial" w:cs="Arial" w:eastAsia="Arial" w:hAnsi="Arial"/>
          <w:sz w:val="22"/>
          <w:szCs w:val="22"/>
        </w:rPr>
        <w:t xml:space="preserve">Date column formatted as YYYY-MM-DD</w:t>
      </w:r>
    </w:p>
    <w:p>
      <w:pPr>
        <w:pStyle w:val="ListParagraph"/>
        <w:numPr>
          <w:ilvl w:val="0"/>
          <w:numId w:val="2"/>
        </w:numPr>
      </w:pPr>
      <w:r>
        <w:rPr>
          <w:rFonts w:ascii="Arial" w:cs="Arial" w:eastAsia="Arial" w:hAnsi="Arial"/>
          <w:sz w:val="22"/>
          <w:szCs w:val="22"/>
        </w:rPr>
        <w:t xml:space="preserve">No table styling or conditional formatting applied</w:t>
      </w:r>
    </w:p>
    <w:p>
      <w:r>
        <w:t xml:space="preserve"/>
      </w:r>
    </w:p>
    <w:p>
      <w:pPr>
        <w:pStyle w:val="Heading1"/>
        <w:pageBreakBefore/>
        <w:spacing w:before="320" w:after="160"/>
      </w:pPr>
      <w:r>
        <w:rPr>
          <w:rFonts w:ascii="Arial" w:cs="Arial" w:eastAsia="Arial" w:hAnsi="Arial"/>
          <w:b/>
          <w:bCs/>
          <w:color w:val="1F4E79"/>
          <w:sz w:val="32"/>
          <w:szCs w:val="32"/>
        </w:rPr>
        <w:t xml:space="preserve">6. Variable Metadata</w:t>
      </w:r>
    </w:p>
    <w:p>
      <w:pPr>
        <w:spacing w:before="80" w:after="120" w:line="276" w:lineRule="auto"/>
      </w:pPr>
      <w:r>
        <w:rPr>
          <w:rFonts w:ascii="Arial" w:cs="Arial" w:eastAsia="Arial" w:hAnsi="Arial"/>
          <w:sz w:val="22"/>
          <w:szCs w:val="22"/>
        </w:rPr>
        <w:t xml:space="preserve">The table below describes each variable in the output dataset, including its full name, unit of measurement, and analytical method.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900"/>
        <w:gridCol w:w="2400"/>
        <w:gridCol w:w="23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stream</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Identifies the river system the sample belongs to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Categorical (text)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Boye or Kinzig</w:t>
            </w:r>
          </w:p>
        </w:tc>
      </w:tr>
      <w:tr>
        <w:tc>
          <w:tcPr>
            <w:tcW w:type="dxa" w:w="1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date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Sampling period — March 2025</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Recorded at time of field collection</w:t>
            </w:r>
          </w:p>
        </w:tc>
        <w:tc>
          <w:tcPr>
            <w:tcW w:type="dxa" w:w="2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Averaged across two sampling events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site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Unique sampling location code within each stream system</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Categorical (text)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Cd_mg_l</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Cadmium — trace heavy metal</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ICP-MS (Inductively Coupled Plasma Mass Spectrometry)</w:t>
            </w:r>
          </w:p>
        </w:tc>
        <w:tc>
          <w:tcPr>
            <w:tcW w:type="dxa" w:w="2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Cu_mg_l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Copper — trace heavy metal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ICP-MS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Fe_mg_l</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Iron — major dissolved metal</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ICP-MS or ICP-OES</w:t>
            </w:r>
          </w:p>
        </w:tc>
        <w:tc>
          <w:tcPr>
            <w:tcW w:type="dxa" w:w="2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Ni_mg_l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Nickel — trace heavy metal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ICP-MS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Pb_mg_l</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Lead — trace heavy metal</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ICP-MS</w:t>
            </w:r>
          </w:p>
        </w:tc>
        <w:tc>
          <w:tcPr>
            <w:tcW w:type="dxa" w:w="2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Zn_mg_l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Zinc — trace heavy metal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ICP-MS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Ca_mg_l</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Calcium — major cation</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ICP-OES or Ion Chromatography</w:t>
            </w:r>
          </w:p>
        </w:tc>
        <w:tc>
          <w:tcPr>
            <w:tcW w:type="dxa" w:w="2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Mg_mg_l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Magnesium — major cation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ICP-OES or Ion Chromatography</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Na_mg_l</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Sodium — major cation</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Ion Chromatography</w:t>
            </w:r>
          </w:p>
        </w:tc>
        <w:tc>
          <w:tcPr>
            <w:tcW w:type="dxa" w:w="2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K_mg_l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Potassium — major cation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Ion Chromatography</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carbonate_mg_l</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Carbonate (CO3²⁻) — alkalinity component</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Acid-base titration or Ion Chromatography</w:t>
            </w:r>
          </w:p>
        </w:tc>
        <w:tc>
          <w:tcPr>
            <w:tcW w:type="dxa" w:w="2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HCO3_mg_l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Bicarbonate (HCO3⁻) — alkalinity/buffering capacity</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Acid-base titration</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available for 2nd sampling date</w:t>
            </w:r>
          </w:p>
        </w:tc>
      </w:tr>
      <w:tr>
        <w:tc>
          <w:tcPr>
            <w:tcW w:type="dxa" w:w="1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ortho_phosphate_mg_l</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Ortho-phosphate (PO4³⁻) — dissolved reactive P</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Photometric / Colorimetric (molybdenum blue method)</w:t>
            </w:r>
          </w:p>
        </w:tc>
        <w:tc>
          <w:tcPr>
            <w:tcW w:type="dxa" w:w="2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total_phosphate_mg_l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Total phosphate — all phosphorus fractions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Photometric after acid digestion</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ammonia_mg_l</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Ammonia (NH4⁺) — reduced inorganic nitrogen</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Photometric (indophenol blue) or Ion Chromatography</w:t>
            </w:r>
          </w:p>
        </w:tc>
        <w:tc>
          <w:tcPr>
            <w:tcW w:type="dxa" w:w="2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nitrite_mg_l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Nitrite (NO2⁻) — oxidised inorganic nitrogen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Ion Chromatography or Photometric</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nitrate_mg_l</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Nitrate (NO3⁻) — oxidised inorganic nitrogen</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Ion Chromatography</w:t>
            </w:r>
          </w:p>
        </w:tc>
        <w:tc>
          <w:tcPr>
            <w:tcW w:type="dxa" w:w="2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total_nitrogen_mg_l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Total nitrogen — sum of all nitrogen species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TNb analyser or calculated from fractions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chloride_mg_l</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Chloride (Cl⁻) — major anion</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Ion Chromatography</w:t>
            </w:r>
          </w:p>
        </w:tc>
        <w:tc>
          <w:tcPr>
            <w:tcW w:type="dxa" w:w="2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sulfate_mg_l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Sulfate (SO4²⁻) — major anion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mg/L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Ion Chromatography</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bl>
    <w:p>
      <w:r>
        <w:t xml:space="preserve"/>
      </w:r>
    </w:p>
    <w:p>
      <w:r>
        <w:t xml:space="preserve"/>
      </w:r>
    </w:p>
    <w:p>
      <w:pPr>
        <w:spacing w:before="80" w:after="120" w:line="276" w:lineRule="auto"/>
      </w:pPr>
      <w:r>
        <w:rPr>
          <w:rFonts w:ascii="Arial" w:cs="Arial" w:eastAsia="Arial" w:hAnsi="Arial"/>
          <w:sz w:val="22"/>
          <w:szCs w:val="22"/>
        </w:rPr>
        <w:t xml:space="preserve">Note: Methods listed are standard analytical methods commonly used for freshwater quality analysis. Please verify against laboratory certificates of analysis for the exact instruments and protocols used in this study.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Water Quality Data Processing Report — March 2025 | SFB RESIST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2026-03-08T14:10:30.617Z</dcterms:created>
  <dcterms:modified xsi:type="dcterms:W3CDTF">2026-03-08T14:10:30.617Z</dcterms:modified>
</cp:coreProperties>
</file>

<file path=docProps/custom.xml><?xml version="1.0" encoding="utf-8"?>
<Properties xmlns="http://schemas.openxmlformats.org/officeDocument/2006/custom-properties" xmlns:vt="http://schemas.openxmlformats.org/officeDocument/2006/docPropsVTypes"/>
</file>