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74A" w14:textId="4F1CA1E8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326FDF">
        <w:rPr>
          <w:rFonts w:ascii="Segoe UI" w:hAnsi="Segoe UI" w:cs="Segoe UI"/>
          <w:b/>
          <w:bCs/>
          <w:color w:val="000000"/>
          <w:sz w:val="20"/>
          <w:szCs w:val="20"/>
        </w:rPr>
        <w:t>Potential Topics for future research:</w:t>
      </w:r>
    </w:p>
    <w:p w14:paraId="4DFD19C9" w14:textId="77777777" w:rsid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B47DE90" w14:textId="4EB81F41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1. The heritability estimate for binary traits using GWAS data instead of sibling pair data; The current GWAS method for the estimation of heritability of binary trait is controversial</w:t>
      </w:r>
    </w:p>
    <w:p w14:paraId="4240E230" w14:textId="7D227286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i/>
          <w:iCs/>
          <w:color w:val="000000"/>
          <w:sz w:val="20"/>
          <w:szCs w:val="20"/>
        </w:rPr>
        <w:t>(</w:t>
      </w: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</w:t>
      </w: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I</w:t>
      </w:r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feel a long-term possible project is the heritability estimate for binary traits using GWAS data.  (You should create a file/system to track all possible future directions with as detailed notes as possible. You will be surprised how often we </w:t>
      </w:r>
      <w:proofErr w:type="gram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don't</w:t>
      </w:r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recall the details that seemed obvious now.</w:t>
      </w:r>
    </w:p>
    <w:p w14:paraId="5FB9505C" w14:textId="101B2C3C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Visscher's group is big on this and there are also two very recent AJHG paper on this:</w:t>
      </w:r>
    </w:p>
    <w:p w14:paraId="634CB0C9" w14:textId="77777777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Hivert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, V., Sidorenko, J., </w:t>
      </w: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Rohart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, F., Goddard, M. E., Yang, J., &amp; et al. (2021). Estimation of non-additive genetic variance in</w:t>
      </w:r>
    </w:p>
    <w:p w14:paraId="444F1D16" w14:textId="7F05EBE9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human complex traits from a large sample of unrelated individuals. American journal of human genetics, 108(5), 786-798.</w:t>
      </w:r>
    </w:p>
    <w:p w14:paraId="2A1BBD38" w14:textId="77777777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Pazokitoroudi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, A., Chiu, A. M., Burch, K. S., </w:t>
      </w: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Pasaniuc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, B., &amp; </w:t>
      </w: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Sankararaman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, S. (2021). Quantifying the contribution of</w:t>
      </w:r>
    </w:p>
    <w:p w14:paraId="0536DA39" w14:textId="77777777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dominance deviation effects to complex trait variation in biobank-scale data. American journal of human genetics, 108(5),</w:t>
      </w:r>
    </w:p>
    <w:p w14:paraId="581934B1" w14:textId="011ADFBC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799-808.</w:t>
      </w:r>
    </w:p>
    <w:p w14:paraId="63D96A3B" w14:textId="1ABDDED9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There </w:t>
      </w:r>
      <w:proofErr w:type="gram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have</w:t>
      </w:r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been some criticism of this type of approach for analyzing and interpreting binary traits.</w:t>
      </w:r>
    </w:p>
    <w:p w14:paraId="2C6AF11E" w14:textId="53951E72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I recall Rosset had </w:t>
      </w:r>
      <w:proofErr w:type="spellStart"/>
      <w:proofErr w:type="gram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a</w:t>
      </w:r>
      <w:proofErr w:type="spellEnd"/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earlier paper on this, but couldn't pinpoint the paper. But you should be able to infer it from his other paper:</w:t>
      </w:r>
    </w:p>
    <w:p w14:paraId="223185F6" w14:textId="58B28495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https://www.pnas.org/content/111/49/E5272</w:t>
      </w:r>
    </w:p>
    <w:p w14:paraId="7CCE940C" w14:textId="3318C7B7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Finally, </w:t>
      </w:r>
      <w:proofErr w:type="gram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a number of</w:t>
      </w:r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Rosset's paper on h2 estimates appeared in PNAS. </w:t>
      </w:r>
      <w:proofErr w:type="gram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So</w:t>
      </w:r>
      <w:proofErr w:type="gram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you could take a closer look at the writing style, and we could consider first trying PNAS, depending on Professor </w:t>
      </w:r>
      <w:proofErr w:type="spellStart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>Lawless's</w:t>
      </w:r>
      <w:proofErr w:type="spellEnd"/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 honest opinion of your work</w:t>
      </w:r>
    </w:p>
    <w:p w14:paraId="1C129642" w14:textId="38E88614" w:rsid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  <w:r w:rsidRPr="00326FDF">
        <w:rPr>
          <w:rFonts w:ascii="Segoe UI" w:hAnsi="Segoe UI" w:cs="Segoe UI"/>
          <w:i/>
          <w:iCs/>
          <w:color w:val="000000"/>
          <w:sz w:val="20"/>
          <w:szCs w:val="20"/>
        </w:rPr>
        <w:t xml:space="preserve">https://www.pnas.org/content/pnas/116/1/local/information-for-authors.pdf  </w:t>
      </w:r>
    </w:p>
    <w:p w14:paraId="4B6C72A6" w14:textId="1A772BCA" w:rsid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  <w:sz w:val="20"/>
          <w:szCs w:val="20"/>
        </w:rPr>
      </w:pPr>
    </w:p>
    <w:p w14:paraId="68D7A3EB" w14:textId="2D5F2FA3" w:rsidR="00326FDF" w:rsidRPr="00326FDF" w:rsidRDefault="00326FDF" w:rsidP="00326F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326FDF">
        <w:rPr>
          <w:rFonts w:ascii="Segoe UI" w:hAnsi="Segoe UI" w:cs="Segoe UI"/>
          <w:b/>
          <w:bCs/>
          <w:i/>
          <w:iCs/>
          <w:color w:val="000000"/>
          <w:sz w:val="20"/>
          <w:szCs w:val="20"/>
        </w:rPr>
        <w:t>Here are another two papers suggested by Lei during the meeting:</w:t>
      </w:r>
    </w:p>
    <w:p w14:paraId="05B18678" w14:textId="77777777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[</w:t>
      </w:r>
      <w:r w:rsidRPr="00326FDF">
        <w:rPr>
          <w:rFonts w:ascii="Microsoft YaHei" w:eastAsia="Microsoft YaHei" w:hAnsi="Microsoft YaHei" w:cs="Microsoft YaHei" w:hint="eastAsia"/>
          <w:i/>
          <w:iCs/>
          <w:sz w:val="21"/>
          <w:szCs w:val="21"/>
        </w:rPr>
        <w:t>昨天</w:t>
      </w: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  <w:r w:rsidRPr="00326FDF">
        <w:rPr>
          <w:rFonts w:ascii="Microsoft YaHei" w:eastAsia="Microsoft YaHei" w:hAnsi="Microsoft YaHei" w:cs="Microsoft YaHei" w:hint="eastAsia"/>
          <w:i/>
          <w:iCs/>
          <w:sz w:val="21"/>
          <w:szCs w:val="21"/>
        </w:rPr>
        <w:t>上午</w:t>
      </w: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11:05] Lei Sun</w:t>
      </w:r>
    </w:p>
    <w:p w14:paraId="3D11EBF0" w14:textId="740BD9DA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hyperlink r:id="rId4" w:tooltip="https://www.sciencedirect.com/science/article/pii/s0002929718301952" w:history="1">
        <w:r w:rsidRPr="00326FDF">
          <w:rPr>
            <w:rFonts w:ascii="Segoe UI" w:eastAsia="Times New Roman" w:hAnsi="Segoe UI" w:cs="Segoe UI"/>
            <w:i/>
            <w:iCs/>
            <w:color w:val="0000FF"/>
            <w:sz w:val="21"/>
            <w:szCs w:val="21"/>
            <w:u w:val="single"/>
          </w:rPr>
          <w:t>Estimating SNP-based heritability and genetic correlation in case-control studies directly and with summary statistics</w:t>
        </w:r>
      </w:hyperlink>
    </w:p>
    <w:p w14:paraId="73952E73" w14:textId="77777777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Estimating SNP-Based Heritability and Genetic Correlation in Case-Control Studies Directly and with Summary Statistics</w:t>
      </w:r>
    </w:p>
    <w:p w14:paraId="3D23F0EE" w14:textId="77777777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Methods that estimate SNP-based heritability and genetic correlations from genome-wide association studies have proven to be powerful tools for invest…</w:t>
      </w:r>
    </w:p>
    <w:p w14:paraId="26DEBDBE" w14:textId="77777777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www.sciencedirect.com</w:t>
      </w:r>
    </w:p>
    <w:p w14:paraId="198B50DD" w14:textId="77777777" w:rsidR="00326FDF" w:rsidRPr="00326FDF" w:rsidRDefault="00326FDF" w:rsidP="00326FDF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326FDF">
        <w:rPr>
          <w:rFonts w:ascii="Times New Roman" w:eastAsia="Times New Roman" w:hAnsi="Times New Roman" w:cs="Times New Roman"/>
          <w:i/>
          <w:iCs/>
          <w:sz w:val="24"/>
          <w:szCs w:val="24"/>
        </w:rPr>
        <w:t>​</w:t>
      </w: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[</w:t>
      </w:r>
      <w:r w:rsidRPr="00326FDF">
        <w:rPr>
          <w:rFonts w:ascii="Microsoft YaHei" w:eastAsia="Microsoft YaHei" w:hAnsi="Microsoft YaHei" w:cs="Microsoft YaHei" w:hint="eastAsia"/>
          <w:i/>
          <w:iCs/>
          <w:sz w:val="21"/>
          <w:szCs w:val="21"/>
        </w:rPr>
        <w:t>昨天</w:t>
      </w: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  <w:r w:rsidRPr="00326FDF">
        <w:rPr>
          <w:rFonts w:ascii="Microsoft YaHei" w:eastAsia="Microsoft YaHei" w:hAnsi="Microsoft YaHei" w:cs="Microsoft YaHei" w:hint="eastAsia"/>
          <w:i/>
          <w:iCs/>
          <w:sz w:val="21"/>
          <w:szCs w:val="21"/>
        </w:rPr>
        <w:t>上午</w:t>
      </w: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11:05] Lei Sun</w:t>
      </w:r>
    </w:p>
    <w:p w14:paraId="6C6962A6" w14:textId="462BCE04" w:rsidR="00326FDF" w:rsidRPr="00326FDF" w:rsidRDefault="00326FDF" w:rsidP="00326FD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26FDF">
        <w:rPr>
          <w:rFonts w:ascii="Segoe UI" w:eastAsia="Times New Roman" w:hAnsi="Segoe UI" w:cs="Segoe UI"/>
          <w:i/>
          <w:iCs/>
          <w:sz w:val="21"/>
          <w:szCs w:val="21"/>
        </w:rPr>
        <w:t>Mixed models for case-control genome-wide association studies: major challenges and partial solutions</w:t>
      </w:r>
    </w:p>
    <w:p w14:paraId="07284A8A" w14:textId="10A9E6DC" w:rsidR="00326FDF" w:rsidRDefault="00326FDF">
      <w:pPr>
        <w:rPr>
          <w:i/>
          <w:iCs/>
        </w:rPr>
      </w:pPr>
      <w:r w:rsidRPr="00326FDF">
        <w:rPr>
          <w:i/>
          <w:iCs/>
        </w:rPr>
        <w:t>)</w:t>
      </w:r>
    </w:p>
    <w:p w14:paraId="610A3EB7" w14:textId="77777777" w:rsidR="00326FDF" w:rsidRPr="00326FDF" w:rsidRDefault="00326FDF">
      <w:pPr>
        <w:rPr>
          <w:i/>
          <w:iCs/>
        </w:rPr>
      </w:pPr>
    </w:p>
    <w:sectPr w:rsidR="00326FDF" w:rsidRPr="00326FDF" w:rsidSect="00586B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F"/>
    <w:rsid w:val="0015046A"/>
    <w:rsid w:val="003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0A20"/>
  <w15:chartTrackingRefBased/>
  <w15:docId w15:val="{8DDFF595-1FE1-40A9-9C4D-8E80D365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6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6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02929718301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子昂</dc:creator>
  <cp:keywords/>
  <dc:description/>
  <cp:lastModifiedBy>张 子昂</cp:lastModifiedBy>
  <cp:revision>2</cp:revision>
  <dcterms:created xsi:type="dcterms:W3CDTF">2021-05-15T20:12:00Z</dcterms:created>
  <dcterms:modified xsi:type="dcterms:W3CDTF">2021-05-15T20:18:00Z</dcterms:modified>
</cp:coreProperties>
</file>