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Spécification du protocole — Infrastructure de collecte d’ambiance</w:t>
      </w:r>
    </w:p>
    <w:p>
      <w:pPr>
        <w:spacing w:after="40"/>
      </w:pPr>
      <w:r>
        <w:rPr>
          <w:color w:val="555555"/>
          <w:sz w:val="24"/>
          <w:szCs w:val="24"/>
        </w:rPr>
        <w:t xml:space="preserve">IFT3225 — Phase 1 · Rapport d’équipe</w:t>
      </w:r>
    </w:p>
    <w:p>
      <w:pPr>
        <w:spacing w:after="240"/>
      </w:pPr>
      <w:r>
        <w:rPr>
          <w:i/>
          <w:iCs/>
          <w:color w:val="555555"/>
          <w:sz w:val="22"/>
          <w:szCs w:val="22"/>
        </w:rPr>
        <w:t xml:space="preserve">Lieu instrumenté : Cafétéria Roger-Gaudry, Université de Montréal</w:t>
      </w:r>
    </w:p>
    <w:p>
      <w:pPr>
        <w:spacing w:after="120" w:line="276"/>
      </w:pPr>
      <w:r>
        <w:t xml:space="preserve">Ce rapport décrit les règles de communication avec notre système : les ressources et leurs endpoints, les conventions de format, le mécanisme d’authentification, la chaîne de collecte, la logique d’agrégation des vues sémantiques, ainsi que les limites assumées et les évolutions envisagées. Le protocole est une API REST versionnée en JSON. Il sépare les ressources persistées (appareils, lieux, mesures, observations) des vues sémantiques calculées (ambiance courante, créneaux calmes, comparaison de lieux, historique agrégé).</w:t>
      </w:r>
    </w:p>
    <w:p>
      <w:pPr>
        <w:pStyle w:val="Heading1"/>
      </w:pPr>
      <w:r>
        <w:t xml:space="preserve">1. Lieu et plan de collecte</w:t>
      </w:r>
    </w:p>
    <w:p>
      <w:pPr>
        <w:spacing w:after="120" w:line="276"/>
      </w:pPr>
      <w:r>
        <w:t xml:space="preserve">Lieu choisi : </w:t>
      </w:r>
      <w:r>
        <w:rPr>
          <w:b/>
          <w:bCs/>
        </w:rPr>
        <w:t xml:space="preserve">Cafétéria Roger-Gaudry</w:t>
      </w:r>
      <w:r>
        <w:t xml:space="preserve"> (Université de Montréal). Objectif : évaluer l’ambiance du lieu à partir de mesures sonores et d’observations humaines, afin de déterminer s’il est calme, modéré, animé ou bruyant selon les moments de la journée.</w:t>
      </w:r>
    </w:p>
    <w:p>
      <w:pPr>
        <w:spacing w:after="120" w:line="276"/>
      </w:pPr>
      <w:r>
        <w:t xml:space="preserve">La collecte est mixte. Le niveau sonore est mesuré automatiquement au téléphone (Phyphox) ; les données environnementales (densité, proximité de la source de bruit, vibe ressentie) sont saisies par un observateur. Au moins trois sessions de 20 minutes sont réalisées à des moments différents de la journée et de la semaine.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Mode</w:t>
            </w:r>
          </w:p>
        </w:tc>
        <w:tc>
          <w:tcPr>
            <w:tcW w:type="dxa" w:w="24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Moyen</w:t>
            </w:r>
          </w:p>
        </w:tc>
        <w:tc>
          <w:tcPr>
            <w:tcW w:type="dxa" w:w="47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Description</w:t>
            </w:r>
          </w:p>
        </w:tc>
      </w:tr>
      <w:tr>
        <w:tc>
          <w:tcPr>
            <w:tcW w:type="dxa" w:w="22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Automatique</w:t>
            </w:r>
          </w:p>
        </w:tc>
        <w:tc>
          <w:tcPr>
            <w:tcW w:type="dxa" w:w="2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Téléphone avec Phyphox</w:t>
            </w:r>
          </w:p>
        </w:tc>
        <w:tc>
          <w:tcPr>
            <w:tcW w:type="dxa" w:w="4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Mesures régulières du niveau sonore en dB pendant une session.</w:t>
            </w:r>
          </w:p>
        </w:tc>
      </w:tr>
      <w:tr>
        <w:tc>
          <w:tcPr>
            <w:tcW w:type="dxa" w:w="22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Manuelle</w:t>
            </w:r>
          </w:p>
        </w:tc>
        <w:tc>
          <w:tcPr>
            <w:tcW w:type="dxa" w:w="2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Formulaire de saisie</w:t>
            </w:r>
          </w:p>
        </w:tc>
        <w:tc>
          <w:tcPr>
            <w:tcW w:type="dxa" w:w="4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Observation de la densité, de la proximité, de l’ambiance ressentie et notes.</w:t>
            </w:r>
          </w:p>
        </w:tc>
      </w:tr>
      <w:tr>
        <w:tc>
          <w:tcPr>
            <w:tcW w:type="dxa" w:w="22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Fallback obligatoire</w:t>
            </w:r>
          </w:p>
        </w:tc>
        <w:tc>
          <w:tcPr>
            <w:tcW w:type="dxa" w:w="2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Saisie manuelle</w:t>
            </w:r>
          </w:p>
        </w:tc>
        <w:tc>
          <w:tcPr>
            <w:tcW w:type="dxa" w:w="4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Utilisée si la collecte automatique échoue, si le capteur est indisponible ou si le réseau est instable.</w:t>
            </w:r>
          </w:p>
        </w:tc>
      </w:tr>
    </w:tbl>
    <w:p>
      <w:pPr>
        <w:spacing w:after="80"/>
      </w:pPr>
      <w:r>
        <w:t xml:space="preserve"/>
      </w:r>
    </w:p>
    <w:p>
      <w:pPr>
        <w:pStyle w:val="Heading1"/>
      </w:pPr>
      <w:r>
        <w:t xml:space="preserve">2. Ressources et endpoints</w:t>
      </w:r>
    </w:p>
    <w:p>
      <w:pPr>
        <w:spacing w:after="120" w:line="276"/>
      </w:pPr>
      <w:r>
        <w:t xml:space="preserve">Les chemins commencent par </w:t>
      </w:r>
      <w:r>
        <w:rPr>
          <w:rFonts w:ascii="Consolas" w:cs="Consolas" w:eastAsia="Consolas" w:hAnsi="Consolas"/>
          <w:sz w:val="19"/>
          <w:szCs w:val="19"/>
        </w:rPr>
        <w:t xml:space="preserve">/v1</w:t>
      </w:r>
      <w:r>
        <w:t xml:space="preserve"> afin de permettre l’évolution future du protocole sans casser les clients existants. Le découpage en ressources distingue les entités persistées des vues dérivées.</w:t>
      </w:r>
    </w:p>
    <w:p>
      <w:pPr>
        <w:pStyle w:val="Heading2"/>
      </w:pPr>
      <w:r>
        <w:t xml:space="preserve">2.1 Justification du découpage en ressources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Ressource</w:t>
            </w:r>
          </w:p>
        </w:tc>
        <w:tc>
          <w:tcPr>
            <w:tcW w:type="dxa" w:w="37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Pourquoi ce regroupement</w:t>
            </w:r>
          </w:p>
        </w:tc>
        <w:tc>
          <w:tcPr>
            <w:tcW w:type="dxa" w:w="41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Alternative envisagée et décision</w:t>
            </w:r>
          </w:p>
        </w:tc>
      </w:tr>
      <w:tr>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devices</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Un appareil représente une source de collecte identifiable, porteuse d’un identifiant et d’une clé API.</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Mettre l’appareil uniquement dans measurements éviterait des doublons mais empêcherait de révoquer une clé ou de suivre lastSeenAt. Écarté.</w:t>
            </w:r>
          </w:p>
        </w:tc>
      </w:tr>
      <w:tr>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locations</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Un lieu est une entité stable que les clients consultent et filtrent.</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Écrire le lieu comme simple chaîne dans chaque mesure crée fautes et doublons et rend les comparaisons difficiles. Écarté.</w:t>
            </w:r>
          </w:p>
        </w:tc>
      </w:tr>
      <w:tr>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measurements</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Donnée numérique brute produite par capteur : type, valeur, unité, timestamp.</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Fusionner avec observations a été écarté : une mesure est objective et numérique, une observation est qualitative.</w:t>
            </w:r>
          </w:p>
        </w:tc>
      </w:tr>
      <w:tr>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observations</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Donnée humaine : densité, proximité, vibe, notes.</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La stocker comme mesure textuelle compliquerait la validation et les statistiques. Écarté.</w:t>
            </w:r>
          </w:p>
        </w:tc>
      </w:tr>
      <w:tr>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ambiance</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Vue calculée sur les données existantes ; répond directement aux questions du client.</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N’est pas une ressource persistée : score, ambianceLabel et quietSlots sont dérivés à la lecture.</w:t>
            </w:r>
          </w:p>
        </w:tc>
      </w:tr>
    </w:tbl>
    <w:p>
      <w:pPr>
        <w:spacing w:after="80"/>
      </w:pPr>
      <w:r>
        <w:t xml:space="preserve"/>
      </w:r>
    </w:p>
    <w:p>
      <w:pPr>
        <w:pStyle w:val="Heading2"/>
      </w:pPr>
      <w:r>
        <w:t xml:space="preserve">2.2 Gestion des appareils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850"/>
        <w:gridCol w:w="2600"/>
        <w:gridCol w:w="2660"/>
        <w:gridCol w:w="1200"/>
      </w:tblGrid>
      <w:tr>
        <w:trPr>
          <w:tblHeader/>
        </w:trPr>
        <w:tc>
          <w:tcPr>
            <w:tcW w:type="dxa" w:w="10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Méthode</w:t>
            </w:r>
          </w:p>
        </w:tc>
        <w:tc>
          <w:tcPr>
            <w:tcW w:type="dxa" w:w="18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Endpoint</w:t>
            </w:r>
          </w:p>
        </w:tc>
        <w:tc>
          <w:tcPr>
            <w:tcW w:type="dxa" w:w="26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Corps / paramètres</w:t>
            </w:r>
          </w:p>
        </w:tc>
        <w:tc>
          <w:tcPr>
            <w:tcW w:type="dxa" w:w="26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Réponse</w:t>
            </w:r>
          </w:p>
        </w:tc>
        <w:tc>
          <w:tcPr>
            <w:tcW w:type="dxa" w:w="12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Codes</w:t>
            </w:r>
          </w:p>
        </w:tc>
      </w:tr>
      <w:tr>
        <w:tc>
          <w:tcPr>
            <w:tcW w:type="dxa" w:w="1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POST</w:t>
            </w:r>
          </w:p>
        </w:tc>
        <w:tc>
          <w:tcPr>
            <w:tcW w:type="dxa" w:w="18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/v1/devices</w:t>
            </w:r>
          </w:p>
        </w:tc>
        <w:tc>
          <w:tcPr>
            <w:tcW w:type="dxa" w:w="2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 name, locationSlug }</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 { id, name, locationSlug, apiKey }</w:t>
            </w:r>
          </w:p>
        </w:tc>
        <w:tc>
          <w:tcPr>
            <w:tcW w:type="dxa" w:w="12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201, 400, 404, 409</w:t>
            </w:r>
          </w:p>
        </w:tc>
      </w:tr>
      <w:tr>
        <w:tc>
          <w:tcPr>
            <w:tcW w:type="dxa" w:w="1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18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/v1/devices</w:t>
            </w:r>
          </w:p>
        </w:tc>
        <w:tc>
          <w:tcPr>
            <w:tcW w:type="dxa" w:w="2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locationSlug?, page?, perPage?, sort?</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 + tableau { id, name, locationSlug, lastSeenAt }</w:t>
            </w:r>
          </w:p>
        </w:tc>
        <w:tc>
          <w:tcPr>
            <w:tcW w:type="dxa" w:w="12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w:t>
            </w:r>
          </w:p>
        </w:tc>
      </w:tr>
      <w:tr>
        <w:tc>
          <w:tcPr>
            <w:tcW w:type="dxa" w:w="1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DELETE</w:t>
            </w:r>
          </w:p>
        </w:tc>
        <w:tc>
          <w:tcPr>
            <w:tcW w:type="dxa" w:w="18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/v1/devices/{id}</w:t>
            </w:r>
          </w:p>
        </w:tc>
        <w:tc>
          <w:tcPr>
            <w:tcW w:type="dxa" w:w="2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Aucun corps. Clé admin requise.</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204 — clé révoquée, appareil supprimé</w:t>
            </w:r>
          </w:p>
        </w:tc>
        <w:tc>
          <w:tcPr>
            <w:tcW w:type="dxa" w:w="12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204, 401, 403, 404</w:t>
            </w:r>
          </w:p>
        </w:tc>
      </w:tr>
    </w:tbl>
    <w:p>
      <w:pPr>
        <w:spacing w:after="80"/>
      </w:pPr>
      <w:r>
        <w:t xml:space="preserve"/>
      </w:r>
    </w:p>
    <w:p>
      <w:pPr>
        <w:pStyle w:val="Heading2"/>
      </w:pPr>
      <w:r>
        <w:t xml:space="preserve">2.3 Gestion des lieux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950"/>
        <w:gridCol w:w="2550"/>
        <w:gridCol w:w="2360"/>
        <w:gridCol w:w="1450"/>
      </w:tblGrid>
      <w:tr>
        <w:trPr>
          <w:tblHeader/>
        </w:trPr>
        <w:tc>
          <w:tcPr>
            <w:tcW w:type="dxa" w:w="10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Méthode</w:t>
            </w:r>
          </w:p>
        </w:tc>
        <w:tc>
          <w:tcPr>
            <w:tcW w:type="dxa" w:w="19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Endpoint</w:t>
            </w:r>
          </w:p>
        </w:tc>
        <w:tc>
          <w:tcPr>
            <w:tcW w:type="dxa" w:w="25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Corps / paramètres</w:t>
            </w:r>
          </w:p>
        </w:tc>
        <w:tc>
          <w:tcPr>
            <w:tcW w:type="dxa" w:w="23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Réponse</w:t>
            </w:r>
          </w:p>
        </w:tc>
        <w:tc>
          <w:tcPr>
            <w:tcW w:type="dxa" w:w="14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Codes</w:t>
            </w:r>
          </w:p>
        </w:tc>
      </w:tr>
      <w:tr>
        <w:tc>
          <w:tcPr>
            <w:tcW w:type="dxa" w:w="1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1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/v1/locations</w:t>
            </w:r>
          </w:p>
        </w:tc>
        <w:tc>
          <w:tcPr>
            <w:tcW w:type="dxa" w:w="25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city?, type?, page?, perPage?</w:t>
            </w:r>
          </w:p>
        </w:tc>
        <w:tc>
          <w:tcPr>
            <w:tcW w:type="dxa" w:w="23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 + tableau { slug, displayName, city, type }</w:t>
            </w:r>
          </w:p>
        </w:tc>
        <w:tc>
          <w:tcPr>
            <w:tcW w:type="dxa" w:w="14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w:t>
            </w:r>
          </w:p>
        </w:tc>
      </w:tr>
      <w:tr>
        <w:tc>
          <w:tcPr>
            <w:tcW w:type="dxa" w:w="1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POST</w:t>
            </w:r>
          </w:p>
        </w:tc>
        <w:tc>
          <w:tcPr>
            <w:tcW w:type="dxa" w:w="1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/v1/locations</w:t>
            </w:r>
          </w:p>
        </w:tc>
        <w:tc>
          <w:tcPr>
            <w:tcW w:type="dxa" w:w="25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 slug, displayName, city, type }</w:t>
            </w:r>
          </w:p>
        </w:tc>
        <w:tc>
          <w:tcPr>
            <w:tcW w:type="dxa" w:w="23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 lieu créé</w:t>
            </w:r>
          </w:p>
        </w:tc>
        <w:tc>
          <w:tcPr>
            <w:tcW w:type="dxa" w:w="14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201, 400, 401, 403, 409</w:t>
            </w:r>
          </w:p>
        </w:tc>
      </w:tr>
      <w:tr>
        <w:tc>
          <w:tcPr>
            <w:tcW w:type="dxa" w:w="1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PUT</w:t>
            </w:r>
          </w:p>
        </w:tc>
        <w:tc>
          <w:tcPr>
            <w:tcW w:type="dxa" w:w="1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/v1/locations/{slug}</w:t>
            </w:r>
          </w:p>
        </w:tc>
        <w:tc>
          <w:tcPr>
            <w:tcW w:type="dxa" w:w="25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 displayName?, city?, type? }</w:t>
            </w:r>
          </w:p>
        </w:tc>
        <w:tc>
          <w:tcPr>
            <w:tcW w:type="dxa" w:w="23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 + lieu mis à jour</w:t>
            </w:r>
          </w:p>
        </w:tc>
        <w:tc>
          <w:tcPr>
            <w:tcW w:type="dxa" w:w="14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200, 400, 401, 403, 404</w:t>
            </w:r>
          </w:p>
        </w:tc>
      </w:tr>
    </w:tbl>
    <w:p>
      <w:pPr>
        <w:spacing w:after="80"/>
      </w:pPr>
      <w:r>
        <w:t xml:space="preserve"/>
      </w:r>
    </w:p>
    <w:p>
      <w:pPr>
        <w:pStyle w:val="Heading2"/>
      </w:pPr>
      <w:r>
        <w:t xml:space="preserve">2.4 Collecte des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050"/>
        <w:gridCol w:w="3050"/>
        <w:gridCol w:w="1810"/>
        <w:gridCol w:w="1500"/>
      </w:tblGrid>
      <w:tr>
        <w:trPr>
          <w:tblHeader/>
        </w:trPr>
        <w:tc>
          <w:tcPr>
            <w:tcW w:type="dxa" w:w="9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Méthode</w:t>
            </w:r>
          </w:p>
        </w:tc>
        <w:tc>
          <w:tcPr>
            <w:tcW w:type="dxa" w:w="20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Endpoint</w:t>
            </w:r>
          </w:p>
        </w:tc>
        <w:tc>
          <w:tcPr>
            <w:tcW w:type="dxa" w:w="30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Corps</w:t>
            </w:r>
          </w:p>
        </w:tc>
        <w:tc>
          <w:tcPr>
            <w:tcW w:type="dxa" w:w="181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Réponse</w:t>
            </w:r>
          </w:p>
        </w:tc>
        <w:tc>
          <w:tcPr>
            <w:tcW w:type="dxa" w:w="15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Codes</w:t>
            </w:r>
          </w:p>
        </w:tc>
      </w:tr>
      <w:tr>
        <w:tc>
          <w:tcPr>
            <w:tcW w:type="dxa" w:w="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POST</w:t>
            </w:r>
          </w:p>
        </w:tc>
        <w:tc>
          <w:tcPr>
            <w:tcW w:type="dxa" w:w="2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/v1/measurements</w:t>
            </w:r>
          </w:p>
        </w:tc>
        <w:tc>
          <w:tcPr>
            <w:tcW w:type="dxa" w:w="3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 type, value, unit, locationSlug, timestamp, deviceId? }</w:t>
            </w:r>
          </w:p>
        </w:tc>
        <w:tc>
          <w:tcPr>
            <w:tcW w:type="dxa" w:w="181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 mesure créée (+ receivedAt)</w:t>
            </w:r>
          </w:p>
        </w:tc>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201, 400, 401, 403, 404, 422</w:t>
            </w:r>
          </w:p>
        </w:tc>
      </w:tr>
      <w:tr>
        <w:tc>
          <w:tcPr>
            <w:tcW w:type="dxa" w:w="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POST</w:t>
            </w:r>
          </w:p>
        </w:tc>
        <w:tc>
          <w:tcPr>
            <w:tcW w:type="dxa" w:w="2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/v1/observations</w:t>
            </w:r>
          </w:p>
        </w:tc>
        <w:tc>
          <w:tcPr>
            <w:tcW w:type="dxa" w:w="3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 locationSlug, density, proximity, vibe, notes?, timestamp }</w:t>
            </w:r>
          </w:p>
        </w:tc>
        <w:tc>
          <w:tcPr>
            <w:tcW w:type="dxa" w:w="181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 observation créée</w:t>
            </w:r>
          </w:p>
        </w:tc>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201, 400, 401, 403, 404, 422</w:t>
            </w:r>
          </w:p>
        </w:tc>
      </w:tr>
      <w:tr>
        <w:tc>
          <w:tcPr>
            <w:tcW w:type="dxa" w:w="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POST</w:t>
            </w:r>
          </w:p>
        </w:tc>
        <w:tc>
          <w:tcPr>
            <w:tcW w:type="dxa" w:w="2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/v1/measurements/batch</w:t>
            </w:r>
          </w:p>
        </w:tc>
        <w:tc>
          <w:tcPr>
            <w:tcW w:type="dxa" w:w="3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 { type, value, unit, locationSlug, timestamp }, ... ]</w:t>
            </w:r>
          </w:p>
        </w:tc>
        <w:tc>
          <w:tcPr>
            <w:tcW w:type="dxa" w:w="181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207 + { accepted[], rejected[] }</w:t>
            </w:r>
          </w:p>
        </w:tc>
        <w:tc>
          <w:tcPr>
            <w:tcW w:type="dxa" w:w="1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207, 400, 401, 403</w:t>
            </w:r>
          </w:p>
        </w:tc>
      </w:tr>
    </w:tbl>
    <w:p>
      <w:pPr>
        <w:spacing w:after="80"/>
      </w:pPr>
      <w:r>
        <w:t xml:space="preserve"/>
      </w:r>
    </w:p>
    <w:p>
      <w:pPr>
        <w:pStyle w:val="Heading2"/>
      </w:pPr>
      <w:r>
        <w:t xml:space="preserve">2.5 Consultation brute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050"/>
        <w:gridCol w:w="4960"/>
        <w:gridCol w:w="1400"/>
      </w:tblGrid>
      <w:tr>
        <w:trPr>
          <w:tblHeader/>
        </w:trPr>
        <w:tc>
          <w:tcPr>
            <w:tcW w:type="dxa" w:w="9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Méthode</w:t>
            </w:r>
          </w:p>
        </w:tc>
        <w:tc>
          <w:tcPr>
            <w:tcW w:type="dxa" w:w="20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Endpoint</w:t>
            </w:r>
          </w:p>
        </w:tc>
        <w:tc>
          <w:tcPr>
            <w:tcW w:type="dxa" w:w="49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Filtres</w:t>
            </w:r>
          </w:p>
        </w:tc>
        <w:tc>
          <w:tcPr>
            <w:tcW w:type="dxa" w:w="14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Codes</w:t>
            </w:r>
          </w:p>
        </w:tc>
      </w:tr>
      <w:tr>
        <w:tc>
          <w:tcPr>
            <w:tcW w:type="dxa" w:w="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2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/v1/measurements</w:t>
            </w:r>
          </w:p>
        </w:tc>
        <w:tc>
          <w:tcPr>
            <w:tcW w:type="dxa" w:w="4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locationSlug?, type?, from?, to?, last?, page?, perPage?, sort?</w:t>
            </w:r>
          </w:p>
        </w:tc>
        <w:tc>
          <w:tcPr>
            <w:tcW w:type="dxa" w:w="1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200, 400</w:t>
            </w:r>
          </w:p>
        </w:tc>
      </w:tr>
      <w:tr>
        <w:tc>
          <w:tcPr>
            <w:tcW w:type="dxa" w:w="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20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/v1/observations</w:t>
            </w:r>
          </w:p>
        </w:tc>
        <w:tc>
          <w:tcPr>
            <w:tcW w:type="dxa" w:w="4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locationSlug?, vibe?, density?, from?, to?, last?, page?, perPage?, sort?</w:t>
            </w:r>
          </w:p>
        </w:tc>
        <w:tc>
          <w:tcPr>
            <w:tcW w:type="dxa" w:w="1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200, 400</w:t>
            </w:r>
          </w:p>
        </w:tc>
      </w:tr>
    </w:tbl>
    <w:p>
      <w:pPr>
        <w:spacing w:after="80"/>
      </w:pPr>
      <w:r>
        <w:t xml:space="preserve"/>
      </w:r>
    </w:p>
    <w:p>
      <w:pPr>
        <w:pStyle w:val="Heading2"/>
      </w:pPr>
      <w:r>
        <w:t xml:space="preserve">2.6 Endpoints sémantiques (vues dérivées)</w:t>
      </w:r>
    </w:p>
    <w:p>
      <w:pPr>
        <w:spacing w:after="120" w:line="276"/>
      </w:pPr>
      <w:r>
        <w:t xml:space="preserve">Ces endpoints dépassent la simple collecte : ils transforment les données brutes en réponses directement utiles. Ils ne stockent rien et sont publics en lecture.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50"/>
        <w:gridCol w:w="2950"/>
        <w:gridCol w:w="2960"/>
      </w:tblGrid>
      <w:tr>
        <w:trPr>
          <w:tblHeader/>
        </w:trPr>
        <w:tc>
          <w:tcPr>
            <w:tcW w:type="dxa" w:w="9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Méthode</w:t>
            </w:r>
          </w:p>
        </w:tc>
        <w:tc>
          <w:tcPr>
            <w:tcW w:type="dxa" w:w="25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Endpoint</w:t>
            </w:r>
          </w:p>
        </w:tc>
        <w:tc>
          <w:tcPr>
            <w:tcW w:type="dxa" w:w="295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Paramètres</w:t>
            </w:r>
          </w:p>
        </w:tc>
        <w:tc>
          <w:tcPr>
            <w:tcW w:type="dxa" w:w="29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Ce qu’il retourne</w:t>
            </w:r>
          </w:p>
        </w:tc>
      </w:tr>
      <w:tr>
        <w:tc>
          <w:tcPr>
            <w:tcW w:type="dxa" w:w="9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25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/v1/ambiance/{slug}/now</w:t>
            </w:r>
          </w:p>
        </w:tc>
        <w:tc>
          <w:tcPr>
            <w:tcW w:type="dxa" w:w="2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window? = 15m | 30m | 1h (défaut 30m)</w:t>
            </w:r>
          </w:p>
        </w:tc>
        <w:tc>
          <w:tcPr>
            <w:tcW w:type="dxa" w:w="2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Portrait actuel : bruit moyen, occupation, vibe et proximité dominantes, ambianceLabel.</w:t>
            </w:r>
          </w:p>
        </w:tc>
      </w:tr>
      <w:tr>
        <w:tc>
          <w:tcPr>
            <w:tcW w:type="dxa" w:w="9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25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/v1/ambiance/{slug}/quiet-hours</w:t>
            </w:r>
          </w:p>
        </w:tc>
        <w:tc>
          <w:tcPr>
            <w:tcW w:type="dxa" w:w="2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days? = 7 | 14 | 30 ; threshold? (dB) ; dayOfWeek? = 0–6</w:t>
            </w:r>
          </w:p>
        </w:tc>
        <w:tc>
          <w:tcPr>
            <w:tcW w:type="dxa" w:w="2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Créneaux typiquement calmes (par tranches de 30 min) avec avgNoise.</w:t>
            </w:r>
          </w:p>
        </w:tc>
      </w:tr>
      <w:tr>
        <w:tc>
          <w:tcPr>
            <w:tcW w:type="dxa" w:w="9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25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/v1/ambiance/compare</w:t>
            </w:r>
          </w:p>
        </w:tc>
        <w:tc>
          <w:tcPr>
            <w:tcW w:type="dxa" w:w="2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locations (slugs séparés par virgule) ; window?</w:t>
            </w:r>
          </w:p>
        </w:tc>
        <w:tc>
          <w:tcPr>
            <w:tcW w:type="dxa" w:w="2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Comparaison de plusieurs lieux + quietest + busiest.</w:t>
            </w:r>
          </w:p>
        </w:tc>
      </w:tr>
      <w:tr>
        <w:tc>
          <w:tcPr>
            <w:tcW w:type="dxa" w:w="9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GET</w:t>
            </w:r>
          </w:p>
        </w:tc>
        <w:tc>
          <w:tcPr>
            <w:tcW w:type="dxa" w:w="25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/v1/ambiance/{slug}/history</w:t>
            </w:r>
          </w:p>
        </w:tc>
        <w:tc>
          <w:tcPr>
            <w:tcW w:type="dxa" w:w="295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last? ou from/to ; bucket? = 5m | 15m | 30m | 1h</w:t>
            </w:r>
          </w:p>
        </w:tc>
        <w:tc>
          <w:tcPr>
            <w:tcW w:type="dxa" w:w="2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Série temporelle agrégée par tranche.</w:t>
            </w:r>
          </w:p>
        </w:tc>
      </w:tr>
    </w:tbl>
    <w:p>
      <w:pPr>
        <w:spacing w:after="80"/>
      </w:pPr>
      <w:r>
        <w:t xml:space="preserve"/>
      </w:r>
    </w:p>
    <w:p>
      <w:pPr>
        <w:pStyle w:val="Heading3"/>
      </w:pPr>
      <w:r>
        <w:t xml:space="preserve">Exemple de réponse — ambiance courante</w:t>
      </w:r>
    </w:p>
    <w:p>
      <w:pPr>
        <w:shd w:fill="F2F3F5" w:val="clear"/>
        <w:spacing w:after="0" w:line="240"/>
      </w:pPr>
      <w:r>
        <w:rPr>
          <w:rFonts w:ascii="Consolas" w:cs="Consolas" w:eastAsia="Consolas" w:hAnsi="Consolas"/>
          <w:sz w:val="18"/>
          <w:szCs w:val="18"/>
        </w:rPr>
        <w:t xml:space="preserve">{</w:t>
      </w:r>
    </w:p>
    <w:p>
      <w:pPr>
        <w:shd w:fill="F2F3F5" w:val="clear"/>
        <w:spacing w:after="0" w:line="240"/>
      </w:pPr>
      <w:r>
        <w:rPr>
          <w:rFonts w:ascii="Consolas" w:cs="Consolas" w:eastAsia="Consolas" w:hAnsi="Consolas"/>
          <w:sz w:val="18"/>
          <w:szCs w:val="18"/>
        </w:rPr>
        <w:t xml:space="preserve">  "status": "success",</w:t>
      </w:r>
    </w:p>
    <w:p>
      <w:pPr>
        <w:shd w:fill="F2F3F5" w:val="clear"/>
        <w:spacing w:after="0" w:line="240"/>
      </w:pPr>
      <w:r>
        <w:rPr>
          <w:rFonts w:ascii="Consolas" w:cs="Consolas" w:eastAsia="Consolas" w:hAnsi="Consolas"/>
          <w:sz w:val="18"/>
          <w:szCs w:val="18"/>
        </w:rPr>
        <w:t xml:space="preserve">  "data": {</w:t>
      </w:r>
    </w:p>
    <w:p>
      <w:pPr>
        <w:shd w:fill="F2F3F5" w:val="clear"/>
        <w:spacing w:after="0" w:line="240"/>
      </w:pPr>
      <w:r>
        <w:rPr>
          <w:rFonts w:ascii="Consolas" w:cs="Consolas" w:eastAsia="Consolas" w:hAnsi="Consolas"/>
          <w:sz w:val="18"/>
          <w:szCs w:val="18"/>
        </w:rPr>
        <w:t xml:space="preserve">    "location": "cafeteria-roger-gaudry",</w:t>
      </w:r>
    </w:p>
    <w:p>
      <w:pPr>
        <w:shd w:fill="F2F3F5" w:val="clear"/>
        <w:spacing w:after="0" w:line="240"/>
      </w:pPr>
      <w:r>
        <w:rPr>
          <w:rFonts w:ascii="Consolas" w:cs="Consolas" w:eastAsia="Consolas" w:hAnsi="Consolas"/>
          <w:sz w:val="18"/>
          <w:szCs w:val="18"/>
        </w:rPr>
        <w:t xml:space="preserve">    "window": "30m",</w:t>
      </w:r>
    </w:p>
    <w:p>
      <w:pPr>
        <w:shd w:fill="F2F3F5" w:val="clear"/>
        <w:spacing w:after="0" w:line="240"/>
      </w:pPr>
      <w:r>
        <w:rPr>
          <w:rFonts w:ascii="Consolas" w:cs="Consolas" w:eastAsia="Consolas" w:hAnsi="Consolas"/>
          <w:sz w:val="18"/>
          <w:szCs w:val="18"/>
        </w:rPr>
        <w:t xml:space="preserve">    "sampleSize": { "measurements": 24, "observations": 1 },</w:t>
      </w:r>
    </w:p>
    <w:p>
      <w:pPr>
        <w:shd w:fill="F2F3F5" w:val="clear"/>
        <w:spacing w:after="0" w:line="240"/>
      </w:pPr>
      <w:r>
        <w:rPr>
          <w:rFonts w:ascii="Consolas" w:cs="Consolas" w:eastAsia="Consolas" w:hAnsi="Consolas"/>
          <w:sz w:val="18"/>
          <w:szCs w:val="18"/>
        </w:rPr>
        <w:t xml:space="preserve">    "score": { "noise": 72, "occupancy": 70, "vibe": "Sociable",</w:t>
      </w:r>
    </w:p>
    <w:p>
      <w:pPr>
        <w:shd w:fill="F2F3F5" w:val="clear"/>
        <w:spacing w:after="0" w:line="240"/>
      </w:pPr>
      <w:r>
        <w:rPr>
          <w:rFonts w:ascii="Consolas" w:cs="Consolas" w:eastAsia="Consolas" w:hAnsi="Consolas"/>
          <w:sz w:val="18"/>
          <w:szCs w:val="18"/>
        </w:rPr>
        <w:t xml:space="preserve">               "proximity": "Fréquenté" },</w:t>
      </w:r>
    </w:p>
    <w:p>
      <w:pPr>
        <w:shd w:fill="F2F3F5" w:val="clear"/>
        <w:spacing w:after="0" w:line="240"/>
      </w:pPr>
      <w:r>
        <w:rPr>
          <w:rFonts w:ascii="Consolas" w:cs="Consolas" w:eastAsia="Consolas" w:hAnsi="Consolas"/>
          <w:sz w:val="18"/>
          <w:szCs w:val="18"/>
        </w:rPr>
        <w:t xml:space="preserve">    "ambianceLabel": "animé"</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"meta": { "generatedAt": "2026-06-01T18:32:10Z" }</w:t>
      </w:r>
    </w:p>
    <w:p>
      <w:pPr>
        <w:shd w:fill="F2F3F5" w:val="clear"/>
        <w:spacing w:after="160" w:line="240"/>
      </w:pPr>
      <w:r>
        <w:rPr>
          <w:rFonts w:ascii="Consolas" w:cs="Consolas" w:eastAsia="Consolas" w:hAnsi="Consolas"/>
          <w:sz w:val="18"/>
          <w:szCs w:val="18"/>
        </w:rPr>
        <w:t xml:space="preserve">}</w:t>
      </w:r>
    </w:p>
    <w:p>
      <w:pPr>
        <w:pStyle w:val="Heading3"/>
      </w:pPr>
      <w:r>
        <w:t xml:space="preserve">Stratégie de gestion des lieux</w:t>
      </w:r>
    </w:p>
    <w:p>
      <w:pPr>
        <w:spacing w:after="120" w:line="276"/>
      </w:pPr>
      <w:r>
        <w:t xml:space="preserve">Création explicite. Un lieu doit exister (créé via </w:t>
      </w:r>
      <w:r>
        <w:rPr>
          <w:rFonts w:ascii="Consolas" w:cs="Consolas" w:eastAsia="Consolas" w:hAnsi="Consolas"/>
          <w:sz w:val="19"/>
          <w:szCs w:val="19"/>
        </w:rPr>
        <w:t xml:space="preserve">POST /v1/locations</w:t>
      </w:r>
      <w:r>
        <w:t xml:space="preserve">) avant qu’une mesure ou un appareil ne le référence. Une mesure dont le </w:t>
      </w:r>
      <w:r>
        <w:rPr>
          <w:rFonts w:ascii="Consolas" w:cs="Consolas" w:eastAsia="Consolas" w:hAnsi="Consolas"/>
          <w:sz w:val="19"/>
          <w:szCs w:val="19"/>
        </w:rPr>
        <w:t xml:space="preserve">locationSlug</w:t>
      </w:r>
      <w:r>
        <w:t xml:space="preserve"> est inconnu reçoit </w:t>
      </w:r>
      <w:r>
        <w:rPr>
          <w:rFonts w:ascii="Consolas" w:cs="Consolas" w:eastAsia="Consolas" w:hAnsi="Consolas"/>
          <w:sz w:val="19"/>
          <w:szCs w:val="19"/>
        </w:rPr>
        <w:t xml:space="preserve">404 LOCATION_NOT_FOUND</w:t>
      </w:r>
      <w:r>
        <w:t xml:space="preserve">. Ce choix évite la prolifération de lieux fantômes créés par une faute de frappe, au prix d’une étape d’enregistrement préalable.</w:t>
      </w:r>
    </w:p>
    <w:p>
      <w:pPr>
        <w:spacing w:after="80"/>
      </w:pPr>
      <w:r>
        <w:t xml:space="preserve"/>
      </w:r>
    </w:p>
    <w:p>
      <w:pPr>
        <w:pStyle w:val="Heading1"/>
      </w:pPr>
      <w:r>
        <w:t xml:space="preserve">3. Conventions du protocole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Convention</w:t>
            </w:r>
          </w:p>
        </w:tc>
        <w:tc>
          <w:tcPr>
            <w:tcW w:type="dxa" w:w="37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Choix retenu</w:t>
            </w:r>
          </w:p>
        </w:tc>
        <w:tc>
          <w:tcPr>
            <w:tcW w:type="dxa" w:w="39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Intention</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Versionnement</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Tous les chemins commencent par /v1.</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Permet de créer /v2 plus tard sans casser les clients existants.</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Nommage</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Noms anglais, pluriels pour les collections. Slugs en kebab-case (cafeteria-roger-gaudry).</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Rend les URLs prévisibles, stables et faciles à filtrer.</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Format des dates</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ISO 8601 en UTC avec suffixe Z. Une heure locale doit inclure son offset (…-04:00).</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Évite les ambiguïtés de fuseau horaire et d’heure d’été.</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timestamp vs receivedAt</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Le client fournit timestamp (moment réel de la mesure) ; le serveur ajoute receivedAt (réception).</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Permet de distinguer une mesure faite à 14 h d’une mesure envoyée plus tard en batch.</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Réponses</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JSON uniquement, Content-Type: application/json.</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Format uniforme pour tous les clients.</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Enveloppe de succès</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 status, data, meta }</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Le client sait toujours où trouver les données et les métadonnées.</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Enveloppe d’erreur</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 status: "error", error: { code, message, details? }, meta }</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Message humain + code machine traitable automatiquement.</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Pagination</w:t>
            </w:r>
          </w:p>
        </w:tc>
        <w:tc>
          <w:tcPr>
            <w:tcW w:type="dxa" w:w="3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page, perPage, total, totalPages dans meta pour les collections.</w:t>
            </w:r>
          </w:p>
        </w:tc>
        <w:tc>
          <w:tcPr>
            <w:tcW w:type="dxa" w:w="39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Évite les réponses trop lourdes ; rend l’interface plus rapide.</w:t>
            </w:r>
          </w:p>
        </w:tc>
      </w:tr>
    </w:tbl>
    <w:p>
      <w:pPr>
        <w:spacing w:after="80"/>
      </w:pPr>
      <w:r>
        <w:t xml:space="preserve"/>
      </w:r>
    </w:p>
    <w:p>
      <w:pPr>
        <w:pStyle w:val="Heading2"/>
      </w:pPr>
      <w:r>
        <w:t xml:space="preserve">3.1 Structure des erreurs</w:t>
      </w:r>
    </w:p>
    <w:p>
      <w:pPr>
        <w:shd w:fill="F2F3F5" w:val="clear"/>
        <w:spacing w:after="0" w:line="240"/>
      </w:pPr>
      <w:r>
        <w:rPr>
          <w:rFonts w:ascii="Consolas" w:cs="Consolas" w:eastAsia="Consolas" w:hAnsi="Consolas"/>
          <w:sz w:val="18"/>
          <w:szCs w:val="18"/>
        </w:rPr>
        <w:t xml:space="preserve">{</w:t>
      </w:r>
    </w:p>
    <w:p>
      <w:pPr>
        <w:shd w:fill="F2F3F5" w:val="clear"/>
        <w:spacing w:after="0" w:line="240"/>
      </w:pPr>
      <w:r>
        <w:rPr>
          <w:rFonts w:ascii="Consolas" w:cs="Consolas" w:eastAsia="Consolas" w:hAnsi="Consolas"/>
          <w:sz w:val="18"/>
          <w:szCs w:val="18"/>
        </w:rPr>
        <w:t xml:space="preserve">  "status": "error",</w:t>
      </w:r>
    </w:p>
    <w:p>
      <w:pPr>
        <w:shd w:fill="F2F3F5" w:val="clear"/>
        <w:spacing w:after="0" w:line="240"/>
      </w:pPr>
      <w:r>
        <w:rPr>
          <w:rFonts w:ascii="Consolas" w:cs="Consolas" w:eastAsia="Consolas" w:hAnsi="Consolas"/>
          <w:sz w:val="18"/>
          <w:szCs w:val="18"/>
        </w:rPr>
        <w:t xml:space="preserve">  "error": {</w:t>
      </w:r>
    </w:p>
    <w:p>
      <w:pPr>
        <w:shd w:fill="F2F3F5" w:val="clear"/>
        <w:spacing w:after="0" w:line="240"/>
      </w:pPr>
      <w:r>
        <w:rPr>
          <w:rFonts w:ascii="Consolas" w:cs="Consolas" w:eastAsia="Consolas" w:hAnsi="Consolas"/>
          <w:sz w:val="18"/>
          <w:szCs w:val="18"/>
        </w:rPr>
        <w:t xml:space="preserve">    "code": "VALIDATION_ERROR",</w:t>
      </w:r>
    </w:p>
    <w:p>
      <w:pPr>
        <w:shd w:fill="F2F3F5" w:val="clear"/>
        <w:spacing w:after="0" w:line="240"/>
      </w:pPr>
      <w:r>
        <w:rPr>
          <w:rFonts w:ascii="Consolas" w:cs="Consolas" w:eastAsia="Consolas" w:hAnsi="Consolas"/>
          <w:sz w:val="18"/>
          <w:szCs w:val="18"/>
        </w:rPr>
        <w:t xml:space="preserve">    "message": "Le champ value est obligatoire.",</w:t>
      </w:r>
    </w:p>
    <w:p>
      <w:pPr>
        <w:shd w:fill="F2F3F5" w:val="clear"/>
        <w:spacing w:after="0" w:line="240"/>
      </w:pPr>
      <w:r>
        <w:rPr>
          <w:rFonts w:ascii="Consolas" w:cs="Consolas" w:eastAsia="Consolas" w:hAnsi="Consolas"/>
          <w:sz w:val="18"/>
          <w:szCs w:val="18"/>
        </w:rPr>
        <w:t xml:space="preserve">    "details": [ { "field": "value", "issue": "missing" } ]</w:t>
      </w:r>
    </w:p>
    <w:p>
      <w:pPr>
        <w:shd w:fill="F2F3F5" w:val="clear"/>
        <w:spacing w:after="0" w:line="240"/>
      </w:pPr>
      <w:r>
        <w:rPr>
          <w:rFonts w:ascii="Consolas" w:cs="Consolas" w:eastAsia="Consolas" w:hAnsi="Consolas"/>
          <w:sz w:val="18"/>
          <w:szCs w:val="18"/>
        </w:rPr>
        <w:t xml:space="preserve">  },</w:t>
      </w:r>
    </w:p>
    <w:p>
      <w:pPr>
        <w:shd w:fill="F2F3F5" w:val="clear"/>
        <w:spacing w:after="0" w:line="240"/>
      </w:pPr>
      <w:r>
        <w:rPr>
          <w:rFonts w:ascii="Consolas" w:cs="Consolas" w:eastAsia="Consolas" w:hAnsi="Consolas"/>
          <w:sz w:val="18"/>
          <w:szCs w:val="18"/>
        </w:rPr>
        <w:t xml:space="preserve">  "meta": { "generatedAt": "2026-06-01T18:11:24Z" }</w:t>
      </w:r>
    </w:p>
    <w:p>
      <w:pPr>
        <w:shd w:fill="F2F3F5" w:val="clear"/>
        <w:spacing w:after="160" w:line="24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4660"/>
      </w:tblGrid>
      <w:tr>
        <w:trPr>
          <w:tblHeader/>
        </w:trPr>
        <w:tc>
          <w:tcPr>
            <w:tcW w:type="dxa" w:w="11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Statut</w:t>
            </w:r>
          </w:p>
        </w:tc>
        <w:tc>
          <w:tcPr>
            <w:tcW w:type="dxa" w:w="36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Code machine</w:t>
            </w:r>
          </w:p>
        </w:tc>
        <w:tc>
          <w:tcPr>
            <w:tcW w:type="dxa" w:w="46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Cas</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400</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VALIDATION_ERROR</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Champ manquant, mauvais format, ou combinaison invalide de paramètres.</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401</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MISSING_AUTH</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En-tête d’authentification absent.</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403</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FORBIDDEN</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Clé invalide ou accès refusé.</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404</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LOCATION_NOT_FOUND / NOT_FOUND</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Lieu ou ressource inexistant.</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409</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DEVICE_EXISTS / LOCATION_EXISTS</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Doublon de nom, de slug ou d’appareil.</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422</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INVALID_VALUE</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Valeur hors plage ou incompatible avec son type.</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429</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RATE_LIMIT</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Trop de requêtes (limite par minute atteinte).</w:t>
            </w:r>
          </w:p>
        </w:tc>
      </w:tr>
      <w:tr>
        <w:tc>
          <w:tcPr>
            <w:tcW w:type="dxa" w:w="11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500</w:t>
            </w:r>
          </w:p>
        </w:tc>
        <w:tc>
          <w:tcPr>
            <w:tcW w:type="dxa" w:w="3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INTERNAL_ERROR</w:t>
            </w:r>
          </w:p>
        </w:tc>
        <w:tc>
          <w:tcPr>
            <w:tcW w:type="dxa" w:w="4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Erreur serveur non prévue.</w:t>
            </w:r>
          </w:p>
        </w:tc>
      </w:tr>
    </w:tbl>
    <w:p>
      <w:pPr>
        <w:spacing w:after="80"/>
      </w:pPr>
      <w:r>
        <w:t xml:space="preserve"/>
      </w:r>
    </w:p>
    <w:p>
      <w:pPr>
        <w:pStyle w:val="Heading2"/>
      </w:pPr>
      <w:r>
        <w:t xml:space="preserve">3.2 Types et valeurs validées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660"/>
      </w:tblGrid>
      <w:tr>
        <w:trPr>
          <w:tblHeader/>
        </w:trPr>
        <w:tc>
          <w:tcPr>
            <w:tcW w:type="dxa" w:w="23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Champ</w:t>
            </w:r>
          </w:p>
        </w:tc>
        <w:tc>
          <w:tcPr>
            <w:tcW w:type="dxa" w:w="44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Valeurs acceptées</w:t>
            </w:r>
          </w:p>
        </w:tc>
        <w:tc>
          <w:tcPr>
            <w:tcW w:type="dxa" w:w="26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Rôle</w:t>
            </w:r>
          </w:p>
        </w:tc>
      </w:tr>
      <w:tr>
        <w:tc>
          <w:tcPr>
            <w:tcW w:type="dxa" w:w="2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measurement.type</w:t>
            </w:r>
          </w:p>
        </w:tc>
        <w:tc>
          <w:tcPr>
            <w:tcW w:type="dxa" w:w="4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noise_level</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Seul type supporté en Phase 1 (niveau sonore).</w:t>
            </w:r>
          </w:p>
        </w:tc>
      </w:tr>
      <w:tr>
        <w:tc>
          <w:tcPr>
            <w:tcW w:type="dxa" w:w="2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measurement.unit</w:t>
            </w:r>
          </w:p>
        </w:tc>
        <w:tc>
          <w:tcPr>
            <w:tcW w:type="dxa" w:w="4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dB</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Unité du décibel.</w:t>
            </w:r>
          </w:p>
        </w:tc>
      </w:tr>
      <w:tr>
        <w:tc>
          <w:tcPr>
            <w:tcW w:type="dxa" w:w="2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measurement.value</w:t>
            </w:r>
          </w:p>
        </w:tc>
        <w:tc>
          <w:tcPr>
            <w:tcW w:type="dxa" w:w="4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0 à 140</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Plage valide du niveau sonore.</w:t>
            </w:r>
          </w:p>
        </w:tc>
      </w:tr>
      <w:tr>
        <w:tc>
          <w:tcPr>
            <w:tcW w:type="dxa" w:w="2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observation.density</w:t>
            </w:r>
          </w:p>
        </w:tc>
        <w:tc>
          <w:tcPr>
            <w:tcW w:type="dxa" w:w="4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Vide | Modéré | Fréquenté | Bondé</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Densité perçue du lieu.</w:t>
            </w:r>
          </w:p>
        </w:tc>
      </w:tr>
      <w:tr>
        <w:tc>
          <w:tcPr>
            <w:tcW w:type="dxa" w:w="2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observation.vibe</w:t>
            </w:r>
          </w:p>
        </w:tc>
        <w:tc>
          <w:tcPr>
            <w:tcW w:type="dxa" w:w="4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Calme | Concentré | Sociable | Bruyante | Festive | Tendue</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Ambiance humaine ressentie.</w:t>
            </w:r>
          </w:p>
        </w:tc>
      </w:tr>
      <w:tr>
        <w:tc>
          <w:tcPr>
            <w:tcW w:type="dxa" w:w="2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observation.proximity</w:t>
            </w:r>
          </w:p>
        </w:tc>
        <w:tc>
          <w:tcPr>
            <w:tcW w:type="dxa" w:w="44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Isolé | Espacé | Fréquenté | Serré</w:t>
            </w:r>
          </w:p>
        </w:tc>
        <w:tc>
          <w:tcPr>
            <w:tcW w:type="dxa" w:w="26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Proximité de la source de bruit humaine.</w:t>
            </w:r>
          </w:p>
        </w:tc>
      </w:tr>
    </w:tbl>
    <w:p>
      <w:pPr>
        <w:spacing w:after="120" w:line="276"/>
      </w:pPr>
      <w:r>
        <w:t xml:space="preserve">La validation distingue deux niveaux : un champ manquant ou mal typé renvoie 400 VALIDATION_ERROR ; une valeur bien typée mais hors domaine (ex. value = 200, ou vibe inconnue) renvoie 422 INVALID_VALUE.</w:t>
      </w:r>
    </w:p>
    <w:p>
      <w:pPr>
        <w:spacing w:after="80"/>
      </w:pPr>
      <w:r>
        <w:t xml:space="preserve"/>
      </w:r>
    </w:p>
    <w:p>
      <w:pPr>
        <w:pStyle w:val="Heading2"/>
      </w:pPr>
      <w:r>
        <w:t xml:space="preserve">3.3 Filtrage, consultation et pagination</w:t>
      </w:r>
    </w:p>
    <w:p>
      <w:pPr>
        <w:spacing w:after="120" w:line="276"/>
      </w:pPr>
      <w:r>
        <w:t xml:space="preserve">Les endpoints qui retournent des collections partagent les mêmes paramètres de filtrage, afin que le client réutilise la même logique sur plusieurs écrans.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560"/>
        <w:gridCol w:w="2800"/>
      </w:tblGrid>
      <w:tr>
        <w:trPr>
          <w:tblHeader/>
        </w:trPr>
        <w:tc>
          <w:tcPr>
            <w:tcW w:type="dxa" w:w="17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Paramètre</w:t>
            </w:r>
          </w:p>
        </w:tc>
        <w:tc>
          <w:tcPr>
            <w:tcW w:type="dxa" w:w="13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Type</w:t>
            </w:r>
          </w:p>
        </w:tc>
        <w:tc>
          <w:tcPr>
            <w:tcW w:type="dxa" w:w="35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Exemple</w:t>
            </w:r>
          </w:p>
        </w:tc>
        <w:tc>
          <w:tcPr>
            <w:tcW w:type="dxa" w:w="28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Description</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locationSlug</w:t>
            </w:r>
          </w:p>
        </w:tc>
        <w:tc>
          <w:tcPr>
            <w:tcW w:type="dxa" w:w="1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string</w:t>
            </w:r>
          </w:p>
        </w:tc>
        <w:tc>
          <w:tcPr>
            <w:tcW w:type="dxa" w:w="35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?locationSlug=cafeteria-roger-gaudry</w:t>
            </w:r>
          </w:p>
        </w:tc>
        <w:tc>
          <w:tcPr>
            <w:tcW w:type="dxa" w:w="28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Filtrer par lieu exact.</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from / to</w:t>
            </w:r>
          </w:p>
        </w:tc>
        <w:tc>
          <w:tcPr>
            <w:tcW w:type="dxa" w:w="1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ISO 8601</w:t>
            </w:r>
          </w:p>
        </w:tc>
        <w:tc>
          <w:tcPr>
            <w:tcW w:type="dxa" w:w="35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?from=2026-06-01T00:00:00Z</w:t>
            </w:r>
          </w:p>
        </w:tc>
        <w:tc>
          <w:tcPr>
            <w:tcW w:type="dxa" w:w="28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Bornes de période.</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last</w:t>
            </w:r>
          </w:p>
        </w:tc>
        <w:tc>
          <w:tcPr>
            <w:tcW w:type="dxa" w:w="1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durée</w:t>
            </w:r>
          </w:p>
        </w:tc>
        <w:tc>
          <w:tcPr>
            <w:tcW w:type="dxa" w:w="35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?last=3h</w:t>
            </w:r>
          </w:p>
        </w:tc>
        <w:tc>
          <w:tcPr>
            <w:tcW w:type="dxa" w:w="28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Raccourci temporel. Exclusif avec from/to.</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page / perPage</w:t>
            </w:r>
          </w:p>
        </w:tc>
        <w:tc>
          <w:tcPr>
            <w:tcW w:type="dxa" w:w="1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entier</w:t>
            </w:r>
          </w:p>
        </w:tc>
        <w:tc>
          <w:tcPr>
            <w:tcW w:type="dxa" w:w="35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?page=2&amp;perPage=25</w:t>
            </w:r>
          </w:p>
        </w:tc>
        <w:tc>
          <w:tcPr>
            <w:tcW w:type="dxa" w:w="28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Pagination. perPage max : 200.</w:t>
            </w:r>
          </w:p>
        </w:tc>
      </w:tr>
      <w:tr>
        <w:tc>
          <w:tcPr>
            <w:tcW w:type="dxa" w:w="1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sort</w:t>
            </w:r>
          </w:p>
        </w:tc>
        <w:tc>
          <w:tcPr>
            <w:tcW w:type="dxa" w:w="13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string</w:t>
            </w:r>
          </w:p>
        </w:tc>
        <w:tc>
          <w:tcPr>
            <w:tcW w:type="dxa" w:w="35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?sort=timestamp:desc</w:t>
            </w:r>
          </w:p>
        </w:tc>
        <w:tc>
          <w:tcPr>
            <w:tcW w:type="dxa" w:w="28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Tri au format champ:asc | champ:desc.</w:t>
            </w:r>
          </w:p>
        </w:tc>
      </w:tr>
    </w:tbl>
    <w:p>
      <w:pPr>
        <w:spacing w:after="120" w:line="276"/>
      </w:pPr>
      <w:r>
        <w:t xml:space="preserve">Règle importante : combiner </w:t>
      </w:r>
      <w:r>
        <w:rPr>
          <w:rFonts w:ascii="Consolas" w:cs="Consolas" w:eastAsia="Consolas" w:hAnsi="Consolas"/>
          <w:sz w:val="19"/>
          <w:szCs w:val="19"/>
        </w:rPr>
        <w:t xml:space="preserve">from/to</w:t>
      </w:r>
      <w:r>
        <w:t xml:space="preserve"> et </w:t>
      </w:r>
      <w:r>
        <w:rPr>
          <w:rFonts w:ascii="Consolas" w:cs="Consolas" w:eastAsia="Consolas" w:hAnsi="Consolas"/>
          <w:sz w:val="19"/>
          <w:szCs w:val="19"/>
        </w:rPr>
        <w:t xml:space="preserve">last</w:t>
      </w:r>
      <w:r>
        <w:t xml:space="preserve"> dans la même requête renvoie </w:t>
      </w:r>
      <w:r>
        <w:rPr>
          <w:rFonts w:ascii="Consolas" w:cs="Consolas" w:eastAsia="Consolas" w:hAnsi="Consolas"/>
          <w:sz w:val="19"/>
          <w:szCs w:val="19"/>
        </w:rPr>
        <w:t xml:space="preserve">400 VALIDATION_ERROR</w:t>
      </w:r>
      <w:r>
        <w:t xml:space="preserve">, car cela définirait deux fenêtres temporelles contradictoires. La réponse paginée place les métadonnées dans </w:t>
      </w:r>
      <w:r>
        <w:rPr>
          <w:rFonts w:ascii="Consolas" w:cs="Consolas" w:eastAsia="Consolas" w:hAnsi="Consolas"/>
          <w:sz w:val="19"/>
          <w:szCs w:val="19"/>
        </w:rPr>
        <w:t xml:space="preserve">meta</w:t>
      </w:r>
      <w:r>
        <w:t xml:space="preserve"> : page, perPage, total, totalPages.</w:t>
      </w:r>
    </w:p>
    <w:p>
      <w:pPr>
        <w:spacing w:after="80"/>
      </w:pPr>
      <w:r>
        <w:t xml:space="preserve"/>
      </w:r>
    </w:p>
    <w:p>
      <w:pPr>
        <w:pStyle w:val="Heading1"/>
      </w:pPr>
      <w:r>
        <w:t xml:space="preserve">4. Authentification</w:t>
      </w:r>
    </w:p>
    <w:p>
      <w:pPr>
        <w:spacing w:after="120" w:line="276"/>
      </w:pPr>
      <w:r>
        <w:t xml:space="preserve">Les endpoints d’écriture sont protégés par une clé API transmise dans l’en-tête HTTP </w:t>
      </w:r>
      <w:r>
        <w:rPr>
          <w:rFonts w:ascii="Consolas" w:cs="Consolas" w:eastAsia="Consolas" w:hAnsi="Consolas"/>
          <w:sz w:val="19"/>
          <w:szCs w:val="19"/>
        </w:rPr>
        <w:t xml:space="preserve">x-api-key</w:t>
      </w:r>
      <w:r>
        <w:t xml:space="preserve">. Les endpoints de lecture (GET) restent publics. Deux familles de clés coexistent.</w:t>
      </w:r>
    </w:p>
    <w:p>
      <w:pPr>
        <w:shd w:fill="F2F3F5" w:val="clear"/>
        <w:spacing w:after="0" w:line="240"/>
      </w:pPr>
      <w:r>
        <w:rPr>
          <w:rFonts w:ascii="Consolas" w:cs="Consolas" w:eastAsia="Consolas" w:hAnsi="Consolas"/>
          <w:sz w:val="18"/>
          <w:szCs w:val="18"/>
        </w:rPr>
        <w:t xml:space="preserve">x-api-key: dev_3f9a1c…           (clé d’appareil — endpoints de collecte)</w:t>
      </w:r>
    </w:p>
    <w:p>
      <w:pPr>
        <w:shd w:fill="F2F3F5" w:val="clear"/>
        <w:spacing w:after="160" w:line="240"/>
      </w:pPr>
      <w:r>
        <w:rPr>
          <w:rFonts w:ascii="Consolas" w:cs="Consolas" w:eastAsia="Consolas" w:hAnsi="Consolas"/>
          <w:sz w:val="18"/>
          <w:szCs w:val="18"/>
        </w:rPr>
        <w:t xml:space="preserve">x-api-key: &lt;ADMIN_API_KEY&gt;       (clé d’administration — endpoints de gestion)</w:t>
      </w:r>
    </w:p>
    <w:p>
      <w:pPr>
        <w:spacing w:after="120" w:line="276"/>
      </w:pPr>
      <w:r>
        <w:t xml:space="preserve">Note de conformité : une version antérieure de ce rapport évoquait </w:t>
      </w:r>
      <w:r>
        <w:rPr>
          <w:rFonts w:ascii="Consolas" w:cs="Consolas" w:eastAsia="Consolas" w:hAnsi="Consolas"/>
          <w:sz w:val="19"/>
          <w:szCs w:val="19"/>
        </w:rPr>
        <w:t xml:space="preserve">Authorization: Bearer</w:t>
      </w:r>
      <w:r>
        <w:t xml:space="preserve">. La consigne de la Tâche 5 impose </w:t>
      </w:r>
      <w:r>
        <w:rPr>
          <w:rFonts w:ascii="Consolas" w:cs="Consolas" w:eastAsia="Consolas" w:hAnsi="Consolas"/>
          <w:sz w:val="19"/>
          <w:szCs w:val="19"/>
        </w:rPr>
        <w:t xml:space="preserve">x-api-key</w:t>
      </w:r>
      <w:r>
        <w:rPr>
          <w:i/>
          <w:iCs/>
        </w:rPr>
        <w:t xml:space="preserve"> ; c’est ce que l’implémentation et la présente spécification retiennent.</w:t>
      </w:r>
    </w:p>
    <w:p>
      <w:pPr>
        <w:pStyle w:val="Heading2"/>
      </w:pPr>
      <w:r>
        <w:t xml:space="preserve">4.1 Portée des clés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rPr>
          <w:tblHeader/>
        </w:trPr>
        <w:tc>
          <w:tcPr>
            <w:tcW w:type="dxa" w:w="26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Type de clé</w:t>
            </w:r>
          </w:p>
        </w:tc>
        <w:tc>
          <w:tcPr>
            <w:tcW w:type="dxa" w:w="40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Endpoints protégés</w:t>
            </w:r>
          </w:p>
        </w:tc>
        <w:tc>
          <w:tcPr>
            <w:tcW w:type="dxa" w:w="27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Vérification</w:t>
            </w:r>
          </w:p>
        </w:tc>
      </w:tr>
      <w:tr>
        <w:tc>
          <w:tcPr>
            <w:tcW w:type="dxa" w:w="2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Clé d’appareil (apiKey)</w:t>
            </w:r>
          </w:p>
        </w:tc>
        <w:tc>
          <w:tcPr>
            <w:tcW w:type="dxa" w:w="40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POST /measurements, POST /observations, POST /measurements/batch</w:t>
            </w:r>
          </w:p>
        </w:tc>
        <w:tc>
          <w:tcPr>
            <w:tcW w:type="dxa" w:w="2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La clé doit correspondre à un device enregistré ; lastSeenAt est mis à jour.</w:t>
            </w:r>
          </w:p>
        </w:tc>
      </w:tr>
      <w:tr>
        <w:tc>
          <w:tcPr>
            <w:tcW w:type="dxa" w:w="2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Clé d’administration (ADMIN_API_KEY)</w:t>
            </w:r>
          </w:p>
        </w:tc>
        <w:tc>
          <w:tcPr>
            <w:tcW w:type="dxa" w:w="40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DELETE /devices/{id}, POST /locations, PUT /locations/{slug}</w:t>
            </w:r>
          </w:p>
        </w:tc>
        <w:tc>
          <w:tcPr>
            <w:tcW w:type="dxa" w:w="2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La clé doit égaler le secret ADMIN_API_KEY du serveur.</w:t>
            </w:r>
          </w:p>
        </w:tc>
      </w:tr>
      <w:tr>
        <w:tc>
          <w:tcPr>
            <w:tcW w:type="dxa" w:w="2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Aucune (public)</w:t>
            </w:r>
          </w:p>
        </w:tc>
        <w:tc>
          <w:tcPr>
            <w:tcW w:type="dxa" w:w="40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Tous les GET, y compris les vues /ambiance</w:t>
            </w:r>
          </w:p>
        </w:tc>
        <w:tc>
          <w:tcPr>
            <w:tcW w:type="dxa" w:w="2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Lecture ouverte.</w:t>
            </w:r>
          </w:p>
        </w:tc>
      </w:tr>
    </w:tbl>
    <w:p>
      <w:pPr>
        <w:spacing w:after="80"/>
      </w:pPr>
      <w:r>
        <w:t xml:space="preserve"/>
      </w:r>
    </w:p>
    <w:p>
      <w:pPr>
        <w:pStyle w:val="Heading2"/>
      </w:pPr>
      <w:r>
        <w:t xml:space="preserve">4.2 Flux complet</w:t>
      </w:r>
    </w:p>
    <w:p>
      <w:pPr>
        <w:pStyle w:val="ListParagraph"/>
        <w:numPr>
          <w:ilvl w:val="0"/>
          <w:numId w:val="2"/>
        </w:numPr>
        <w:spacing w:after="60" w:line="270"/>
      </w:pPr>
      <w:r>
        <w:rPr>
          <w:b/>
          <w:bCs/>
        </w:rPr>
        <w:t xml:space="preserve">Enregistrement — </w:t>
      </w:r>
      <w:r>
        <w:t xml:space="preserve">un administrateur crée un appareil via </w:t>
      </w:r>
      <w:r>
        <w:rPr>
          <w:rFonts w:ascii="Consolas" w:cs="Consolas" w:eastAsia="Consolas" w:hAnsi="Consolas"/>
          <w:sz w:val="19"/>
          <w:szCs w:val="19"/>
        </w:rPr>
        <w:t xml:space="preserve">POST /v1/devices</w:t>
      </w:r>
      <w:r>
        <w:t xml:space="preserve"> et reçoit, une seule fois, sa </w:t>
      </w:r>
      <w:r>
        <w:rPr>
          <w:rFonts w:ascii="Consolas" w:cs="Consolas" w:eastAsia="Consolas" w:hAnsi="Consolas"/>
          <w:sz w:val="19"/>
          <w:szCs w:val="19"/>
        </w:rPr>
        <w:t xml:space="preserve">apiKey</w:t>
      </w:r>
      <w:r>
        <w:t xml:space="preserve">.</w:t>
      </w:r>
    </w:p>
    <w:p>
      <w:pPr>
        <w:pStyle w:val="ListParagraph"/>
        <w:numPr>
          <w:ilvl w:val="0"/>
          <w:numId w:val="2"/>
        </w:numPr>
        <w:spacing w:after="60" w:line="270"/>
      </w:pPr>
      <w:r>
        <w:rPr>
          <w:b/>
          <w:bCs/>
        </w:rPr>
        <w:t xml:space="preserve">Utilisation — </w:t>
      </w:r>
      <w:r>
        <w:t xml:space="preserve">le bridge (ou tout client capteur) envoie chaque mesure avec l’en-tête </w:t>
      </w:r>
      <w:r>
        <w:rPr>
          <w:rFonts w:ascii="Consolas" w:cs="Consolas" w:eastAsia="Consolas" w:hAnsi="Consolas"/>
          <w:sz w:val="19"/>
          <w:szCs w:val="19"/>
        </w:rPr>
        <w:t xml:space="preserve">x-api-key: &lt;apiKey&gt;</w:t>
      </w:r>
      <w:r>
        <w:t xml:space="preserve">.</w:t>
      </w:r>
    </w:p>
    <w:p>
      <w:pPr>
        <w:pStyle w:val="ListParagraph"/>
        <w:numPr>
          <w:ilvl w:val="0"/>
          <w:numId w:val="2"/>
        </w:numPr>
        <w:spacing w:after="60" w:line="270"/>
      </w:pPr>
      <w:r>
        <w:rPr>
          <w:b/>
          <w:bCs/>
        </w:rPr>
        <w:t xml:space="preserve">Révocation — </w:t>
      </w:r>
      <w:r>
        <w:rPr>
          <w:rFonts w:ascii="Consolas" w:cs="Consolas" w:eastAsia="Consolas" w:hAnsi="Consolas"/>
          <w:sz w:val="19"/>
          <w:szCs w:val="19"/>
        </w:rPr>
        <w:t xml:space="preserve">DELETE /v1/devices/{id}</w:t>
      </w:r>
      <w:r>
        <w:t xml:space="preserve"> (clé admin) supprime l’appareil ; sa clé devient aussitôt invalide.</w:t>
      </w:r>
    </w:p>
    <w:p>
      <w:pPr>
        <w:pStyle w:val="Heading3"/>
      </w:pPr>
      <w:r>
        <w:t xml:space="preserve">Comportement en cas de clé absente ou invalide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1600"/>
        <w:gridCol w:w="3000"/>
      </w:tblGrid>
      <w:tr>
        <w:trPr>
          <w:tblHeader/>
        </w:trPr>
        <w:tc>
          <w:tcPr>
            <w:tcW w:type="dxa" w:w="47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Situation</w:t>
            </w:r>
          </w:p>
        </w:tc>
        <w:tc>
          <w:tcPr>
            <w:tcW w:type="dxa" w:w="16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Statut</w:t>
            </w:r>
          </w:p>
        </w:tc>
        <w:tc>
          <w:tcPr>
            <w:tcW w:type="dxa" w:w="30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Code machine</w:t>
            </w:r>
          </w:p>
        </w:tc>
      </w:tr>
      <w:tr>
        <w:tc>
          <w:tcPr>
            <w:tcW w:type="dxa" w:w="4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En-tête x-api-key absent</w:t>
            </w:r>
          </w:p>
        </w:tc>
        <w:tc>
          <w:tcPr>
            <w:tcW w:type="dxa" w:w="1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401</w:t>
            </w:r>
          </w:p>
        </w:tc>
        <w:tc>
          <w:tcPr>
            <w:tcW w:type="dxa" w:w="30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MISSING_AUTH</w:t>
            </w:r>
          </w:p>
        </w:tc>
      </w:tr>
      <w:tr>
        <w:tc>
          <w:tcPr>
            <w:tcW w:type="dxa" w:w="4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Clé présente mais ne correspond à aucun device / au secret admin</w:t>
            </w:r>
          </w:p>
        </w:tc>
        <w:tc>
          <w:tcPr>
            <w:tcW w:type="dxa" w:w="1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403</w:t>
            </w:r>
          </w:p>
        </w:tc>
        <w:tc>
          <w:tcPr>
            <w:tcW w:type="dxa" w:w="30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FORBIDDEN</w:t>
            </w:r>
          </w:p>
        </w:tc>
      </w:tr>
      <w:tr>
        <w:tc>
          <w:tcPr>
            <w:tcW w:type="dxa" w:w="47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Clé valide</w:t>
            </w:r>
          </w:p>
        </w:tc>
        <w:tc>
          <w:tcPr>
            <w:tcW w:type="dxa" w:w="16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200 / 201 / 207</w:t>
            </w:r>
          </w:p>
        </w:tc>
        <w:tc>
          <w:tcPr>
            <w:tcW w:type="dxa" w:w="30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 (requête autorisée)</w:t>
            </w:r>
          </w:p>
        </w:tc>
      </w:tr>
    </w:tbl>
    <w:p>
      <w:pPr>
        <w:spacing w:after="120" w:line="276"/>
      </w:pPr>
      <w:r>
        <w:t xml:space="preserve">La faille volontaire de </w:t>
      </w:r>
      <w:r>
        <w:rPr>
          <w:rFonts w:ascii="Consolas" w:cs="Consolas" w:eastAsia="Consolas" w:hAnsi="Consolas"/>
          <w:sz w:val="19"/>
          <w:szCs w:val="19"/>
        </w:rPr>
        <w:t xml:space="preserve">POST /devices</w:t>
      </w:r>
      <w:r>
        <w:t xml:space="preserve"> (non protégé en Phase 1) est analysée en section 7.1.</w:t>
      </w:r>
    </w:p>
    <w:p>
      <w:pPr>
        <w:spacing w:after="80"/>
      </w:pPr>
      <w:r>
        <w:t xml:space="preserve"/>
      </w:r>
    </w:p>
    <w:p>
      <w:pPr>
        <w:pStyle w:val="Heading1"/>
      </w:pPr>
      <w:r>
        <w:t xml:space="preserve">5. Collecte</w:t>
      </w:r>
    </w:p>
    <w:p>
      <w:pPr>
        <w:pStyle w:val="Heading2"/>
      </w:pPr>
      <w:r>
        <w:t xml:space="preserve">5.1 Du capteur au serveur : le bridge</w:t>
      </w:r>
    </w:p>
    <w:p>
      <w:pPr>
        <w:spacing w:after="120" w:line="276"/>
      </w:pPr>
      <w:r>
        <w:t xml:space="preserve">La donnée sonore va du téléphone au serveur via un </w:t>
      </w:r>
      <w:r>
        <w:rPr>
          <w:b/>
          <w:bCs/>
        </w:rPr>
        <w:t xml:space="preserve">bridge</w:t>
      </w:r>
      <w:r>
        <w:t xml:space="preserve"> (</w:t>
      </w:r>
      <w:r>
        <w:rPr>
          <w:rFonts w:ascii="Consolas" w:cs="Consolas" w:eastAsia="Consolas" w:hAnsi="Consolas"/>
          <w:sz w:val="19"/>
          <w:szCs w:val="19"/>
        </w:rPr>
        <w:t xml:space="preserve">bridge/bridge.js</w:t>
      </w:r>
      <w:r>
        <w:t xml:space="preserve">). Phyphox, avec « Allow remote access » activé, expose ses buffers sur </w:t>
      </w:r>
      <w:r>
        <w:rPr>
          <w:rFonts w:ascii="Consolas" w:cs="Consolas" w:eastAsia="Consolas" w:hAnsi="Consolas"/>
          <w:sz w:val="19"/>
          <w:szCs w:val="19"/>
        </w:rPr>
        <w:t xml:space="preserve">http://&lt;ip-tel&gt;:8080/get?&lt;buffer&gt;</w:t>
      </w:r>
      <w:r>
        <w:t xml:space="preserve">. Le bridge interroge ce point d’accès à intervalle régulier, lit la dernière valeur du buffer sonore, puis POST une mesure vers </w:t>
      </w:r>
      <w:r>
        <w:rPr>
          <w:rFonts w:ascii="Consolas" w:cs="Consolas" w:eastAsia="Consolas" w:hAnsi="Consolas"/>
          <w:sz w:val="19"/>
          <w:szCs w:val="19"/>
        </w:rPr>
        <w:t xml:space="preserve">/v1/measurements</w:t>
      </w:r>
      <w:r>
        <w:t xml:space="preserve"> avec l’en-tête </w:t>
      </w:r>
      <w:r>
        <w:rPr>
          <w:rFonts w:ascii="Consolas" w:cs="Consolas" w:eastAsia="Consolas" w:hAnsi="Consolas"/>
          <w:sz w:val="19"/>
          <w:szCs w:val="19"/>
        </w:rPr>
        <w:t xml:space="preserve">x-api-key</w:t>
      </w:r>
      <w:r>
        <w:t xml:space="preserve">.</w:t>
      </w:r>
    </w:p>
    <w:p>
      <w:pPr>
        <w:spacing w:after="120" w:line="276"/>
      </w:pPr>
      <w:r>
        <w:rPr>
          <w:b/>
          <w:bCs/>
        </w:rPr>
        <w:t xml:space="preserve">Pourquoi un bridge ? </w:t>
      </w:r>
      <w:r>
        <w:t xml:space="preserve">Il découple la collecte du serveur : le téléphone n’a pas à connaître MongoDB ni la logique métier ; il expose seulement ses buffers. Le bridge joue le rôle de client capteur, applique l’authentification et le format du protocole. Une alternative — faire pousser directement le téléphone vers MongoDB — a été écartée : elle exposerait les identifiants de base et contournerait la validation du serveur.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4160"/>
      </w:tblGrid>
      <w:tr>
        <w:trPr>
          <w:tblHeader/>
        </w:trPr>
        <w:tc>
          <w:tcPr>
            <w:tcW w:type="dxa" w:w="25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Paramètre</w:t>
            </w:r>
          </w:p>
        </w:tc>
        <w:tc>
          <w:tcPr>
            <w:tcW w:type="dxa" w:w="270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Valeur</w:t>
            </w:r>
          </w:p>
        </w:tc>
        <w:tc>
          <w:tcPr>
            <w:tcW w:type="dxa" w:w="416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Rôle</w:t>
            </w:r>
          </w:p>
        </w:tc>
      </w:tr>
      <w:tr>
        <w:tc>
          <w:tcPr>
            <w:tcW w:type="dxa" w:w="2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POLL_INTERVAL_MS</w:t>
            </w:r>
          </w:p>
        </w:tc>
        <w:tc>
          <w:tcPr>
            <w:tcW w:type="dxa" w:w="2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5000 (défaut)</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Fréquence d’interrogation du capteur : une mesure toutes les 5 s.</w:t>
            </w:r>
          </w:p>
        </w:tc>
      </w:tr>
      <w:tr>
        <w:tc>
          <w:tcPr>
            <w:tcW w:type="dxa" w:w="2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PHYPHOX_URL</w:t>
            </w:r>
          </w:p>
        </w:tc>
        <w:tc>
          <w:tcPr>
            <w:tcW w:type="dxa" w:w="2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http://&lt;ip-tel&gt;:8080</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Adresse de l’API locale Phyphox sur le réseau Wi-Fi.</w:t>
            </w:r>
          </w:p>
        </w:tc>
      </w:tr>
      <w:tr>
        <w:tc>
          <w:tcPr>
            <w:tcW w:type="dxa" w:w="2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PHYPHOX_BUFFER</w:t>
            </w:r>
          </w:p>
        </w:tc>
        <w:tc>
          <w:tcPr>
            <w:tcW w:type="dxa" w:w="2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dB</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Buffer sonore lu sur le capteur.</w:t>
            </w:r>
          </w:p>
        </w:tc>
      </w:tr>
      <w:tr>
        <w:tc>
          <w:tcPr>
            <w:tcW w:type="dxa" w:w="25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LOCATION_SLUG</w:t>
            </w:r>
          </w:p>
        </w:tc>
        <w:tc>
          <w:tcPr>
            <w:tcW w:type="dxa" w:w="270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rFonts w:ascii="Consolas" w:cs="Consolas" w:eastAsia="Consolas" w:hAnsi="Consolas"/>
                <w:sz w:val="17"/>
                <w:szCs w:val="17"/>
              </w:rPr>
              <w:t xml:space="preserve">cafeteria-roger-gaudry</w:t>
            </w:r>
          </w:p>
        </w:tc>
        <w:tc>
          <w:tcPr>
            <w:tcW w:type="dxa" w:w="416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Lieu rattaché aux mesures envoyées.</w:t>
            </w:r>
          </w:p>
        </w:tc>
      </w:tr>
    </w:tbl>
    <w:p>
      <w:pPr>
        <w:spacing w:after="80"/>
      </w:pPr>
      <w:r>
        <w:t xml:space="preserve"/>
      </w:r>
    </w:p>
    <w:p>
      <w:pPr>
        <w:pStyle w:val="Heading2"/>
      </w:pPr>
      <w:r>
        <w:t xml:space="preserve">5.2 Envoi groupé (batch)</w:t>
      </w:r>
    </w:p>
    <w:p>
      <w:pPr>
        <w:spacing w:after="120" w:line="276"/>
      </w:pPr>
      <w:r>
        <w:t xml:space="preserve">Lorsque la collecte accumule des mesures hors ligne (réseau instable), elle peut les envoyer en lot via </w:t>
      </w:r>
      <w:r>
        <w:rPr>
          <w:rFonts w:ascii="Consolas" w:cs="Consolas" w:eastAsia="Consolas" w:hAnsi="Consolas"/>
          <w:sz w:val="19"/>
          <w:szCs w:val="19"/>
        </w:rPr>
        <w:t xml:space="preserve">POST /v1/measurements/batch</w:t>
      </w:r>
      <w:r>
        <w:t xml:space="preserve">, dont le corps est un tableau de mesures. La réponse </w:t>
      </w:r>
      <w:r>
        <w:rPr>
          <w:rFonts w:ascii="Consolas" w:cs="Consolas" w:eastAsia="Consolas" w:hAnsi="Consolas"/>
          <w:sz w:val="19"/>
          <w:szCs w:val="19"/>
        </w:rPr>
        <w:t xml:space="preserve">207</w:t>
      </w:r>
      <w:r>
        <w:t xml:space="preserve"> rapporte un succès partiel : </w:t>
      </w:r>
      <w:r>
        <w:rPr>
          <w:rFonts w:ascii="Consolas" w:cs="Consolas" w:eastAsia="Consolas" w:hAnsi="Consolas"/>
          <w:sz w:val="19"/>
          <w:szCs w:val="19"/>
        </w:rPr>
        <w:t xml:space="preserve">{ accepted[], rejected[] }</w:t>
      </w:r>
      <w:r>
        <w:t xml:space="preserve">. Chaque élément rejeté indique son index et son code d’erreur, sans bloquer les mesures valides du même lot. C’est ici que la distinction </w:t>
      </w:r>
      <w:r>
        <w:rPr>
          <w:rFonts w:ascii="Consolas" w:cs="Consolas" w:eastAsia="Consolas" w:hAnsi="Consolas"/>
          <w:sz w:val="19"/>
          <w:szCs w:val="19"/>
        </w:rPr>
        <w:t xml:space="preserve">timestamp</w:t>
      </w:r>
      <w:r>
        <w:t xml:space="preserve"> / </w:t>
      </w:r>
      <w:r>
        <w:rPr>
          <w:rFonts w:ascii="Consolas" w:cs="Consolas" w:eastAsia="Consolas" w:hAnsi="Consolas"/>
          <w:sz w:val="19"/>
          <w:szCs w:val="19"/>
        </w:rPr>
        <w:t xml:space="preserve">receivedAt</w:t>
      </w:r>
      <w:r>
        <w:t xml:space="preserve"> prend son sens : le moment réel de la mesure est préservé même si l’envoi est différé.</w:t>
      </w:r>
    </w:p>
    <w:p>
      <w:pPr>
        <w:pStyle w:val="Heading2"/>
      </w:pPr>
      <w:r>
        <w:t xml:space="preserve">5.3 Données environnementales et fallback manuel</w:t>
      </w:r>
    </w:p>
    <w:p>
      <w:pPr>
        <w:spacing w:after="120" w:line="276"/>
      </w:pPr>
      <w:r>
        <w:t xml:space="preserve">Les données environnementales (densité, proximité, vibe, notes) ne proviennent pas d’un capteur : elles sont saisies par un observateur via </w:t>
      </w:r>
      <w:r>
        <w:rPr>
          <w:rFonts w:ascii="Consolas" w:cs="Consolas" w:eastAsia="Consolas" w:hAnsi="Consolas"/>
          <w:sz w:val="19"/>
          <w:szCs w:val="19"/>
        </w:rPr>
        <w:t xml:space="preserve">POST /v1/observations</w:t>
      </w:r>
      <w:r>
        <w:t xml:space="preserve">. Cette saisie manuelle constitue aussi le </w:t>
      </w:r>
      <w:r>
        <w:rPr>
          <w:b/>
          <w:bCs/>
        </w:rPr>
        <w:t xml:space="preserve">fallback obligatoire</w:t>
      </w:r>
      <w:r>
        <w:t xml:space="preserve"> : si Phyphox est indisponible, si le téléphone manque ou si le Wi-Fi est instable, l’équipe consigne malgré tout l’ambiance du lieu, garantissant qu’aucune session ne reste vide. Une session type dure 20 minutes : le bridge alimente le bruit en continu pendant qu’un membre enregistre une ou deux observations.</w:t>
      </w:r>
    </w:p>
    <w:p>
      <w:pPr>
        <w:spacing w:after="80"/>
      </w:pPr>
      <w:r>
        <w:t xml:space="preserve"/>
      </w:r>
    </w:p>
    <w:p>
      <w:pPr>
        <w:pStyle w:val="Heading1"/>
      </w:pPr>
      <w:r>
        <w:t xml:space="preserve">6. Agrégation des vues sémantiques</w:t>
      </w:r>
    </w:p>
    <w:p>
      <w:pPr>
        <w:spacing w:after="120" w:line="276"/>
      </w:pPr>
      <w:r>
        <w:t xml:space="preserve">Les endpoints /ambiance ne stockent rien : ils agrègent à la lecture les mesures et observations d’une fenêtre temporelle. Voici la logique appliquée.</w:t>
      </w:r>
    </w:p>
    <w:p>
      <w:pPr>
        <w:pStyle w:val="Heading2"/>
      </w:pPr>
      <w:r>
        <w:t xml:space="preserve">6.1 Étiquette d’ambiance (ambianceLabel)</w:t>
      </w:r>
    </w:p>
    <w:p>
      <w:pPr>
        <w:spacing w:after="120" w:line="276"/>
      </w:pPr>
      <w:r>
        <w:t xml:space="preserve">L’étiquette est dérivée du niveau sonore moyen de la fenêtre, selon des seuils en décibels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Bruit moyen</w:t>
            </w:r>
          </w:p>
        </w:tc>
        <w:tc>
          <w:tcPr>
            <w:tcW w:type="dxa" w:w="4680"/>
            <w:tcBorders>
              <w:top w:val="single" w:color="C9CDD2" w:sz="1"/>
              <w:left w:val="single" w:color="C9CDD2" w:sz="1"/>
              <w:bottom w:val="single" w:color="C9CDD2" w:sz="1"/>
              <w:right w:val="single" w:color="C9CDD2" w:sz="1"/>
            </w:tcBorders>
            <w:shd w:fill="2E5A88" w:val="clear"/>
            <w:tcMar>
              <w:top w:type="dxa" w:w="60"/>
              <w:left w:type="dxa" w:w="110"/>
              <w:bottom w:type="dxa" w:w="60"/>
              <w:right w:type="dxa" w:w="110"/>
            </w:tcMar>
          </w:tcPr>
          <w:p>
            <w:r>
              <w:rPr>
                <w:b/>
                <w:bCs/>
                <w:color w:val="FFFFFF"/>
                <w:sz w:val="19"/>
                <w:szCs w:val="19"/>
              </w:rPr>
              <w:t xml:space="preserve">Étiquette</w:t>
            </w:r>
          </w:p>
        </w:tc>
      </w:tr>
      <w:tr>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&lt; 50 dB</w:t>
            </w:r>
          </w:p>
        </w:tc>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calme</w:t>
            </w:r>
          </w:p>
        </w:tc>
      </w:tr>
      <w:tr>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50 à &lt; 65 dB</w:t>
            </w:r>
          </w:p>
        </w:tc>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modéré</w:t>
            </w:r>
          </w:p>
        </w:tc>
      </w:tr>
      <w:tr>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65 à &lt; 75 dB</w:t>
            </w:r>
          </w:p>
        </w:tc>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animé</w:t>
            </w:r>
          </w:p>
        </w:tc>
      </w:tr>
      <w:tr>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 75 dB</w:t>
            </w:r>
          </w:p>
        </w:tc>
        <w:tc>
          <w:tcPr>
            <w:tcW w:type="dxa" w:w="4680"/>
            <w:tcBorders>
              <w:top w:val="single" w:color="C9CDD2" w:sz="1"/>
              <w:left w:val="single" w:color="C9CDD2" w:sz="1"/>
              <w:bottom w:val="single" w:color="C9CDD2" w:sz="1"/>
              <w:right w:val="single" w:color="C9CDD2" w:sz="1"/>
            </w:tcBorders>
            <w:tcMar>
              <w:top w:type="dxa" w:w="60"/>
              <w:left w:type="dxa" w:w="110"/>
              <w:bottom w:type="dxa" w:w="60"/>
              <w:right w:type="dxa" w:w="110"/>
            </w:tcMar>
          </w:tcPr>
          <w:p>
            <w:r>
              <w:rPr>
                <w:sz w:val="19"/>
                <w:szCs w:val="19"/>
              </w:rPr>
              <w:t xml:space="preserve">bruyant</w:t>
            </w:r>
          </w:p>
        </w:tc>
      </w:tr>
    </w:tbl>
    <w:p>
      <w:pPr>
        <w:spacing w:after="120" w:line="276"/>
      </w:pPr>
      <w:r>
        <w:t xml:space="preserve">En l’absence de mesure dans la fenêtre, l’étiquette vaut « inconnu ».</w:t>
      </w:r>
    </w:p>
    <w:p>
      <w:pPr>
        <w:pStyle w:val="Heading2"/>
      </w:pPr>
      <w:r>
        <w:t xml:space="preserve">6.2 Score d’occupation et dominantes</w:t>
      </w:r>
    </w:p>
    <w:p>
      <w:pPr>
        <w:spacing w:after="120" w:line="276"/>
      </w:pPr>
      <w:r>
        <w:t xml:space="preserve">L’occupation est calculée à partir des observations : chaque densité est convertie en score (Vide = 10, Modéré = 40, Fréquenté = 70, Bondé = 95), puis moyennée. La </w:t>
      </w:r>
      <w:r>
        <w:rPr>
          <w:rFonts w:ascii="Consolas" w:cs="Consolas" w:eastAsia="Consolas" w:hAnsi="Consolas"/>
          <w:sz w:val="19"/>
          <w:szCs w:val="19"/>
        </w:rPr>
        <w:t xml:space="preserve">vibe</w:t>
      </w:r>
      <w:r>
        <w:t xml:space="preserve"> et la </w:t>
      </w:r>
      <w:r>
        <w:rPr>
          <w:rFonts w:ascii="Consolas" w:cs="Consolas" w:eastAsia="Consolas" w:hAnsi="Consolas"/>
          <w:sz w:val="19"/>
          <w:szCs w:val="19"/>
        </w:rPr>
        <w:t xml:space="preserve">proximity</w:t>
      </w:r>
      <w:r>
        <w:t xml:space="preserve"> dominantes sont obtenues par mode (valeur la plus fréquente). Le portrait </w:t>
      </w:r>
      <w:r>
        <w:rPr>
          <w:rFonts w:ascii="Consolas" w:cs="Consolas" w:eastAsia="Consolas" w:hAnsi="Consolas"/>
          <w:sz w:val="19"/>
          <w:szCs w:val="19"/>
        </w:rPr>
        <w:t xml:space="preserve">now</w:t>
      </w:r>
      <w:r>
        <w:t xml:space="preserve"> renvoie aussi </w:t>
      </w:r>
      <w:r>
        <w:rPr>
          <w:rFonts w:ascii="Consolas" w:cs="Consolas" w:eastAsia="Consolas" w:hAnsi="Consolas"/>
          <w:sz w:val="19"/>
          <w:szCs w:val="19"/>
        </w:rPr>
        <w:t xml:space="preserve">sampleSize</w:t>
      </w:r>
      <w:r>
        <w:t xml:space="preserve"> (nombre de mesures et d’observations agrégées) pour signaler la fiabilité de la fenêtre.</w:t>
      </w:r>
    </w:p>
    <w:p>
      <w:pPr>
        <w:pStyle w:val="Heading2"/>
      </w:pPr>
      <w:r>
        <w:t xml:space="preserve">6.3 Créneaux calmes (quiet-hours)</w:t>
      </w:r>
    </w:p>
    <w:p>
      <w:pPr>
        <w:spacing w:after="120" w:line="276"/>
      </w:pPr>
      <w:r>
        <w:t xml:space="preserve">Sur une période de </w:t>
      </w:r>
      <w:r>
        <w:rPr>
          <w:rFonts w:ascii="Consolas" w:cs="Consolas" w:eastAsia="Consolas" w:hAnsi="Consolas"/>
          <w:sz w:val="19"/>
          <w:szCs w:val="19"/>
        </w:rPr>
        <w:t xml:space="preserve">days</w:t>
      </w:r>
      <w:r>
        <w:t xml:space="preserve"> jours (7, 14 ou 30), les mesures sont regroupées par couple (jour de la semaine, tranche de 30 minutes). La moyenne de bruit de chaque tranche est calculée, puis on ne conserve que les tranches sous le </w:t>
      </w:r>
      <w:r>
        <w:rPr>
          <w:rFonts w:ascii="Consolas" w:cs="Consolas" w:eastAsia="Consolas" w:hAnsi="Consolas"/>
          <w:sz w:val="19"/>
          <w:szCs w:val="19"/>
        </w:rPr>
        <w:t xml:space="preserve">threshold</w:t>
      </w:r>
      <w:r>
        <w:t xml:space="preserve"> (défaut 55 dB), triées du plus calme au plus bruyant. Le paramètre </w:t>
      </w:r>
      <w:r>
        <w:rPr>
          <w:rFonts w:ascii="Consolas" w:cs="Consolas" w:eastAsia="Consolas" w:hAnsi="Consolas"/>
          <w:sz w:val="19"/>
          <w:szCs w:val="19"/>
        </w:rPr>
        <w:t xml:space="preserve">dayOfWeek</w:t>
      </w:r>
      <w:r>
        <w:t xml:space="preserve"> (0–6) restreint l’analyse à un jour précis.</w:t>
      </w:r>
    </w:p>
    <w:p>
      <w:pPr>
        <w:pStyle w:val="Heading2"/>
      </w:pPr>
      <w:r>
        <w:t xml:space="preserve">6.4 Historique (history) et comparaison (compare)</w:t>
      </w:r>
    </w:p>
    <w:p>
      <w:pPr>
        <w:spacing w:after="120" w:line="276"/>
      </w:pPr>
      <w:r>
        <w:rPr>
          <w:rFonts w:ascii="Consolas" w:cs="Consolas" w:eastAsia="Consolas" w:hAnsi="Consolas"/>
          <w:sz w:val="19"/>
          <w:szCs w:val="19"/>
        </w:rPr>
        <w:t xml:space="preserve">history</w:t>
      </w:r>
      <w:r>
        <w:t xml:space="preserve"> produit une série temporelle : les mesures de la fenêtre (</w:t>
      </w:r>
      <w:r>
        <w:rPr>
          <w:rFonts w:ascii="Consolas" w:cs="Consolas" w:eastAsia="Consolas" w:hAnsi="Consolas"/>
          <w:sz w:val="19"/>
          <w:szCs w:val="19"/>
        </w:rPr>
        <w:t xml:space="preserve">last</w:t>
      </w:r>
      <w:r>
        <w:t xml:space="preserve"> ou </w:t>
      </w:r>
      <w:r>
        <w:rPr>
          <w:rFonts w:ascii="Consolas" w:cs="Consolas" w:eastAsia="Consolas" w:hAnsi="Consolas"/>
          <w:sz w:val="19"/>
          <w:szCs w:val="19"/>
        </w:rPr>
        <w:t xml:space="preserve">from/to</w:t>
      </w:r>
      <w:r>
        <w:t xml:space="preserve">, défaut 6 h) sont réparties en tranches de taille </w:t>
      </w:r>
      <w:r>
        <w:rPr>
          <w:rFonts w:ascii="Consolas" w:cs="Consolas" w:eastAsia="Consolas" w:hAnsi="Consolas"/>
          <w:sz w:val="19"/>
          <w:szCs w:val="19"/>
        </w:rPr>
        <w:t xml:space="preserve">bucket</w:t>
      </w:r>
      <w:r>
        <w:t xml:space="preserve"> (5m, 15m, 30m, 1h) et chaque tranche renvoie sa moyenne de bruit et son nombre d’échantillons. </w:t>
      </w:r>
      <w:r>
        <w:rPr>
          <w:rFonts w:ascii="Consolas" w:cs="Consolas" w:eastAsia="Consolas" w:hAnsi="Consolas"/>
          <w:sz w:val="19"/>
          <w:szCs w:val="19"/>
        </w:rPr>
        <w:t xml:space="preserve">compare</w:t>
      </w:r>
      <w:r>
        <w:t xml:space="preserve"> applique la même agrégation </w:t>
      </w:r>
      <w:r>
        <w:rPr>
          <w:rFonts w:ascii="Consolas" w:cs="Consolas" w:eastAsia="Consolas" w:hAnsi="Consolas"/>
          <w:sz w:val="19"/>
          <w:szCs w:val="19"/>
        </w:rPr>
        <w:t xml:space="preserve">now</w:t>
      </w:r>
      <w:r>
        <w:t xml:space="preserve"> à plusieurs lieux et désigne le plus calme (quietest) et le plus animé (busiest) par comparaison des bruits moyens.</w:t>
      </w:r>
    </w:p>
    <w:p>
      <w:pPr>
        <w:spacing w:after="80"/>
      </w:pPr>
      <w:r>
        <w:t xml:space="preserve"/>
      </w:r>
    </w:p>
    <w:p>
      <w:pPr>
        <w:pStyle w:val="Heading1"/>
      </w:pPr>
      <w:r>
        <w:t xml:space="preserve">7. Limites et évolution</w:t>
      </w:r>
    </w:p>
    <w:p>
      <w:pPr>
        <w:pStyle w:val="Heading2"/>
      </w:pPr>
      <w:r>
        <w:t xml:space="preserve">7.1 Faille volontaire : POST /devices non protégé</w:t>
      </w:r>
    </w:p>
    <w:p>
      <w:pPr>
        <w:spacing w:after="120" w:line="276"/>
      </w:pPr>
      <w:r>
        <w:t xml:space="preserve">En Phase 1, </w:t>
      </w:r>
      <w:r>
        <w:rPr>
          <w:rFonts w:ascii="Consolas" w:cs="Consolas" w:eastAsia="Consolas" w:hAnsi="Consolas"/>
          <w:sz w:val="19"/>
          <w:szCs w:val="19"/>
        </w:rPr>
        <w:t xml:space="preserve">POST /v1/devices</w:t>
      </w:r>
      <w:r>
        <w:t xml:space="preserve"> n’exige aucune authentification : n’importe qui peut créer un appareil et obtenir une </w:t>
      </w:r>
      <w:r>
        <w:rPr>
          <w:rFonts w:ascii="Consolas" w:cs="Consolas" w:eastAsia="Consolas" w:hAnsi="Consolas"/>
          <w:sz w:val="19"/>
          <w:szCs w:val="19"/>
        </w:rPr>
        <w:t xml:space="preserve">apiKey</w:t>
      </w:r>
      <w:r>
        <w:t xml:space="preserve"> valide, donc pousser de fausses mesures, fausser les vues sémantiques, et — par volume — déclencher le rate-limit pour les autres clients.</w:t>
      </w:r>
    </w:p>
    <w:p>
      <w:pPr>
        <w:spacing w:after="120" w:line="276"/>
      </w:pPr>
      <w:r>
        <w:rPr>
          <w:b/>
          <w:bCs/>
        </w:rPr>
        <w:t xml:space="preserve">Solution proposée : </w:t>
      </w:r>
      <w:r>
        <w:t xml:space="preserve">exiger la clé d’administration sur </w:t>
      </w:r>
      <w:r>
        <w:rPr>
          <w:rFonts w:ascii="Consolas" w:cs="Consolas" w:eastAsia="Consolas" w:hAnsi="Consolas"/>
          <w:sz w:val="19"/>
          <w:szCs w:val="19"/>
        </w:rPr>
        <w:t xml:space="preserve">POST /devices</w:t>
      </w:r>
      <w:r>
        <w:t xml:space="preserve">, comme pour les autres endpoints de gestion — le middleware </w:t>
      </w:r>
      <w:r>
        <w:rPr>
          <w:rFonts w:ascii="Consolas" w:cs="Consolas" w:eastAsia="Consolas" w:hAnsi="Consolas"/>
          <w:sz w:val="19"/>
          <w:szCs w:val="19"/>
        </w:rPr>
        <w:t xml:space="preserve">adminAuth</w:t>
      </w:r>
      <w:r>
        <w:t xml:space="preserve"> existe déjà et il suffit de l’ajouter à la route. Compléments envisageables : enrôlement par jeton d’invitation à usage unique, ou validation d’un compte propriétaire avant émission de la clé.</w:t>
      </w:r>
    </w:p>
    <w:p>
      <w:pPr>
        <w:pStyle w:val="Heading2"/>
      </w:pPr>
      <w:r>
        <w:t xml:space="preserve">7.2 Gestion des secrets</w:t>
      </w:r>
    </w:p>
    <w:p>
      <w:pPr>
        <w:spacing w:after="120" w:line="276"/>
      </w:pPr>
      <w:r>
        <w:t xml:space="preserve">Les secrets (URI MongoDB, clé admin) vivent dans </w:t>
      </w:r>
      <w:r>
        <w:rPr>
          <w:rFonts w:ascii="Consolas" w:cs="Consolas" w:eastAsia="Consolas" w:hAnsi="Consolas"/>
          <w:sz w:val="19"/>
          <w:szCs w:val="19"/>
        </w:rPr>
        <w:t xml:space="preserve">.env</w:t>
      </w:r>
      <w:r>
        <w:t xml:space="preserve">, non versionné (présent dans </w:t>
      </w:r>
      <w:r>
        <w:rPr>
          <w:rFonts w:ascii="Consolas" w:cs="Consolas" w:eastAsia="Consolas" w:hAnsi="Consolas"/>
          <w:sz w:val="19"/>
          <w:szCs w:val="19"/>
        </w:rPr>
        <w:t xml:space="preserve">.gitignore</w:t>
      </w:r>
      <w:r>
        <w:t xml:space="preserve">), avec un </w:t>
      </w:r>
      <w:r>
        <w:rPr>
          <w:rFonts w:ascii="Consolas" w:cs="Consolas" w:eastAsia="Consolas" w:hAnsi="Consolas"/>
          <w:sz w:val="19"/>
          <w:szCs w:val="19"/>
        </w:rPr>
        <w:t xml:space="preserve">.env.example</w:t>
      </w:r>
      <w:r>
        <w:t xml:space="preserve"> documenté. Limite identifiée : un secret accidentellement committé reste présent dans l’historique git même après retrait — il doit alors être révoqué et régénéré côté fournisseur (rotation du mot de passe Atlas), pas seulement supprimé du dernier commit.</w:t>
      </w:r>
    </w:p>
    <w:p>
      <w:pPr>
        <w:pStyle w:val="Heading2"/>
      </w:pPr>
      <w:r>
        <w:t xml:space="preserve">7.3 Autres compromis assumés</w:t>
      </w:r>
    </w:p>
    <w:p>
      <w:pPr>
        <w:pStyle w:val="ListParagraph"/>
        <w:numPr>
          <w:ilvl w:val="0"/>
          <w:numId w:val="2"/>
        </w:numPr>
        <w:spacing w:after="60" w:line="270"/>
      </w:pPr>
      <w:r>
        <w:rPr>
          <w:b/>
          <w:bCs/>
        </w:rPr>
        <w:t xml:space="preserve">Un seul type de mesure. </w:t>
      </w:r>
      <w:r>
        <w:t xml:space="preserve">Seul noise_level est supporté. Le schéma (type/unit/value) est prêt à accueillir lumière, température ou CO₂ sans rupture.</w:t>
      </w:r>
    </w:p>
    <w:p>
      <w:pPr>
        <w:pStyle w:val="ListParagraph"/>
        <w:numPr>
          <w:ilvl w:val="0"/>
          <w:numId w:val="2"/>
        </w:numPr>
        <w:spacing w:after="60" w:line="270"/>
      </w:pPr>
      <w:r>
        <w:rPr>
          <w:b/>
          <w:bCs/>
        </w:rPr>
        <w:t xml:space="preserve">Confiance au timestamp client. </w:t>
      </w:r>
      <w:r>
        <w:t xml:space="preserve">Le serveur accepte le timestamp fourni ; un capteur mal réglé pourrait dater une mesure dans le futur. receivedAt permet de détecter les écarts, mais aucune borne n’est imposée.</w:t>
      </w:r>
    </w:p>
    <w:p>
      <w:pPr>
        <w:pStyle w:val="ListParagraph"/>
        <w:numPr>
          <w:ilvl w:val="0"/>
          <w:numId w:val="2"/>
        </w:numPr>
        <w:spacing w:after="60" w:line="270"/>
      </w:pPr>
      <w:r>
        <w:rPr>
          <w:b/>
          <w:bCs/>
        </w:rPr>
        <w:t xml:space="preserve">Rate-limit global. </w:t>
      </w:r>
      <w:r>
        <w:t xml:space="preserve">La limite (130 req/min) est globale, pas par appareil : un client bruyant peut pénaliser les autres. Une limite par clé serait plus juste.</w:t>
      </w:r>
    </w:p>
    <w:p>
      <w:pPr>
        <w:pStyle w:val="ListParagraph"/>
        <w:numPr>
          <w:ilvl w:val="0"/>
          <w:numId w:val="2"/>
        </w:numPr>
        <w:spacing w:after="60" w:line="270"/>
      </w:pPr>
      <w:r>
        <w:rPr>
          <w:b/>
          <w:bCs/>
        </w:rPr>
        <w:t xml:space="preserve">Clé admin unique et statique. </w:t>
      </w:r>
      <w:r>
        <w:t xml:space="preserve">Une seule clé partagée protège la gestion. Des jetons par administrateur (ou JWT à durée de vie courte) amélioreraient la traçabilité et la révocation.</w:t>
      </w:r>
    </w:p>
    <w:p>
      <w:pPr>
        <w:pStyle w:val="ListParagraph"/>
        <w:numPr>
          <w:ilvl w:val="0"/>
          <w:numId w:val="2"/>
        </w:numPr>
        <w:spacing w:after="60" w:line="270"/>
      </w:pPr>
      <w:r>
        <w:rPr>
          <w:b/>
          <w:bCs/>
        </w:rPr>
        <w:t xml:space="preserve">Données de démonstration synthétiques. </w:t>
      </w:r>
      <w:r>
        <w:t xml:space="preserve">Le script de seed génère des mesures plausibles pour tester les vues sémantiques sans collecte réelle ; il complète, sans remplacer, les sessions de terrain.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B5B"/>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A8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2026-06-18T02:23:31.450Z</dcterms:created>
  <dcterms:modified xsi:type="dcterms:W3CDTF">2026-06-18T02:23:31.450Z</dcterms:modified>
</cp:coreProperties>
</file>

<file path=docProps/custom.xml><?xml version="1.0" encoding="utf-8"?>
<Properties xmlns="http://schemas.openxmlformats.org/officeDocument/2006/custom-properties" xmlns:vt="http://schemas.openxmlformats.org/officeDocument/2006/docPropsVTypes"/>
</file>