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44BA" w14:textId="77777777" w:rsidR="00805AA9" w:rsidRPr="00001407" w:rsidRDefault="00000000">
      <w:pPr>
        <w:jc w:val="center"/>
        <w:rPr>
          <w:lang w:val="es-CL"/>
        </w:rPr>
      </w:pPr>
      <w:proofErr w:type="spellStart"/>
      <w:r w:rsidRPr="00001407">
        <w:rPr>
          <w:b/>
          <w:color w:val="E50914"/>
          <w:sz w:val="60"/>
          <w:lang w:val="es-CL"/>
        </w:rPr>
        <w:t>StreamView</w:t>
      </w:r>
      <w:proofErr w:type="spellEnd"/>
      <w:r w:rsidRPr="00001407">
        <w:rPr>
          <w:b/>
          <w:color w:val="E50914"/>
          <w:sz w:val="60"/>
          <w:lang w:val="es-CL"/>
        </w:rPr>
        <w:t xml:space="preserve"> </w:t>
      </w:r>
      <w:proofErr w:type="spellStart"/>
      <w:r w:rsidRPr="00001407">
        <w:rPr>
          <w:b/>
          <w:color w:val="E50914"/>
          <w:sz w:val="60"/>
          <w:lang w:val="es-CL"/>
        </w:rPr>
        <w:t>Analytics</w:t>
      </w:r>
      <w:proofErr w:type="spellEnd"/>
    </w:p>
    <w:p w14:paraId="46B9719B" w14:textId="4C8CD040" w:rsidR="00805AA9" w:rsidRPr="00001407" w:rsidRDefault="00000000">
      <w:pPr>
        <w:jc w:val="center"/>
        <w:rPr>
          <w:lang w:val="es-CL"/>
        </w:rPr>
      </w:pPr>
      <w:r w:rsidRPr="00001407">
        <w:rPr>
          <w:b/>
          <w:color w:val="221F1F"/>
          <w:sz w:val="32"/>
          <w:lang w:val="es-CL"/>
        </w:rPr>
        <w:t>Diseño de la Visualización</w:t>
      </w:r>
    </w:p>
    <w:p w14:paraId="53481F93" w14:textId="2C735B2D" w:rsidR="00805AA9" w:rsidRPr="00001407" w:rsidRDefault="00001407">
      <w:pPr>
        <w:jc w:val="center"/>
        <w:rPr>
          <w:lang w:val="es-CL"/>
        </w:rPr>
      </w:pPr>
      <w:r>
        <w:rPr>
          <w:color w:val="595959"/>
          <w:lang w:val="es-CL"/>
        </w:rPr>
        <w:t>Alumnos: Carolina Aguirre – Javier Albornoz</w:t>
      </w:r>
    </w:p>
    <w:p w14:paraId="10F02332" w14:textId="77777777" w:rsidR="00805AA9" w:rsidRPr="00001407" w:rsidRDefault="00805AA9">
      <w:pPr>
        <w:rPr>
          <w:lang w:val="es-CL"/>
        </w:rPr>
      </w:pPr>
    </w:p>
    <w:p w14:paraId="6782F201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1. ¿Qué queremos comunicar?</w:t>
      </w:r>
    </w:p>
    <w:p w14:paraId="258AFD16" w14:textId="77777777" w:rsidR="00805AA9" w:rsidRPr="00001407" w:rsidRDefault="00000000">
      <w:pPr>
        <w:spacing w:after="160"/>
        <w:rPr>
          <w:color w:val="000000" w:themeColor="text1"/>
          <w:lang w:val="es-CL"/>
        </w:rPr>
      </w:pPr>
      <w:r w:rsidRPr="00001407">
        <w:rPr>
          <w:color w:val="000000" w:themeColor="text1"/>
          <w:lang w:val="es-CL"/>
        </w:rPr>
        <w:t xml:space="preserve">El </w:t>
      </w:r>
      <w:proofErr w:type="spellStart"/>
      <w:r w:rsidRPr="00001407">
        <w:rPr>
          <w:color w:val="000000" w:themeColor="text1"/>
          <w:lang w:val="es-CL"/>
        </w:rPr>
        <w:t>dashboard</w:t>
      </w:r>
      <w:proofErr w:type="spellEnd"/>
      <w:r w:rsidRPr="00001407">
        <w:rPr>
          <w:color w:val="000000" w:themeColor="text1"/>
          <w:lang w:val="es-CL"/>
        </w:rPr>
        <w:t xml:space="preserve"> debe transmitir, en el menor tiempo posible, un mensaje central que resuma el desempeño del catálogo y oriente decisiones de adquisición, producción y promoción:</w:t>
      </w:r>
    </w:p>
    <w:p w14:paraId="601BFDF9" w14:textId="77777777" w:rsidR="00805AA9" w:rsidRPr="00001407" w:rsidRDefault="00000000">
      <w:pPr>
        <w:ind w:left="454"/>
        <w:rPr>
          <w:color w:val="000000" w:themeColor="text1"/>
          <w:lang w:val="es-CL"/>
        </w:rPr>
      </w:pPr>
      <w:r w:rsidRPr="00001407">
        <w:rPr>
          <w:i/>
          <w:color w:val="000000" w:themeColor="text1"/>
          <w:lang w:val="es-CL"/>
        </w:rPr>
        <w:t xml:space="preserve">“El volumen del catálogo no predice su desempeño. Los géneros con más títulos (Drama, Comedia) no son los mejor evaluados ni los de mejor retorno financiero — hay una oportunidad concreta de </w:t>
      </w:r>
      <w:proofErr w:type="spellStart"/>
      <w:r w:rsidRPr="00001407">
        <w:rPr>
          <w:i/>
          <w:color w:val="000000" w:themeColor="text1"/>
          <w:lang w:val="es-CL"/>
        </w:rPr>
        <w:t>rebalancear</w:t>
      </w:r>
      <w:proofErr w:type="spellEnd"/>
      <w:r w:rsidRPr="00001407">
        <w:rPr>
          <w:i/>
          <w:color w:val="000000" w:themeColor="text1"/>
          <w:lang w:val="es-CL"/>
        </w:rPr>
        <w:t xml:space="preserve"> inversión hacia géneros de nicho con mejor rating (Animación, Documentales) y mejor ROI (Animación, Familia, Horror).”</w:t>
      </w:r>
    </w:p>
    <w:p w14:paraId="2CEB102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b/>
          <w:lang w:val="es-CL"/>
        </w:rPr>
        <w:t xml:space="preserve">Este mensaje se sostiene en tres </w:t>
      </w:r>
      <w:proofErr w:type="spellStart"/>
      <w:r w:rsidRPr="00001407">
        <w:rPr>
          <w:b/>
          <w:lang w:val="es-CL"/>
        </w:rPr>
        <w:t>sub-mensajes</w:t>
      </w:r>
      <w:proofErr w:type="spellEnd"/>
      <w:r w:rsidRPr="00001407">
        <w:rPr>
          <w:b/>
          <w:lang w:val="es-CL"/>
        </w:rPr>
        <w:t xml:space="preserve">, uno por cada bloque del </w:t>
      </w:r>
      <w:proofErr w:type="spellStart"/>
      <w:r w:rsidRPr="00001407">
        <w:rPr>
          <w:b/>
          <w:lang w:val="es-CL"/>
        </w:rPr>
        <w:t>dashboard</w:t>
      </w:r>
      <w:proofErr w:type="spellEnd"/>
      <w:r w:rsidRPr="00001407">
        <w:rPr>
          <w:b/>
          <w:lang w:val="es-CL"/>
        </w:rPr>
        <w:t>:</w:t>
      </w:r>
    </w:p>
    <w:p w14:paraId="50D761B6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Volumen ≠ calidad — bloque de género y desempeño.</w:t>
      </w:r>
    </w:p>
    <w:p w14:paraId="71CC7023" w14:textId="77777777" w:rsidR="00805AA9" w:rsidRDefault="00000000">
      <w:pPr>
        <w:pStyle w:val="Listaconvietas"/>
        <w:spacing w:after="80"/>
      </w:pPr>
      <w:proofErr w:type="spellStart"/>
      <w:r>
        <w:t>Presupuesto</w:t>
      </w:r>
      <w:proofErr w:type="spellEnd"/>
      <w:r>
        <w:t xml:space="preserve"> ≠ </w:t>
      </w:r>
      <w:proofErr w:type="spellStart"/>
      <w:r>
        <w:t>retorno</w:t>
      </w:r>
      <w:proofErr w:type="spellEnd"/>
      <w:r>
        <w:t xml:space="preserve"> — bloque financiero.</w:t>
      </w:r>
    </w:p>
    <w:p w14:paraId="4AF6D391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Hay 5 mercados concentrados que orientan dónde priorizar — bloque geográfico.</w:t>
      </w:r>
    </w:p>
    <w:p w14:paraId="7A1F4E65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2. Jerarquía visual</w:t>
      </w:r>
    </w:p>
    <w:p w14:paraId="1E0F680A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>La información se organiza en tres niveles de prominencia, para que el Gerente de Contenidos pueda leer el estado general en segundos y luego profundizar solo en lo que le interese: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5AA9" w14:paraId="1EF57B0A" w14:textId="77777777">
        <w:trPr>
          <w:jc w:val="center"/>
        </w:trPr>
        <w:tc>
          <w:tcPr>
            <w:tcW w:w="2880" w:type="dxa"/>
            <w:shd w:val="clear" w:color="auto" w:fill="221F1F"/>
          </w:tcPr>
          <w:p w14:paraId="5016F81C" w14:textId="77777777" w:rsidR="00805AA9" w:rsidRDefault="00000000">
            <w:r>
              <w:rPr>
                <w:b/>
                <w:color w:val="FFFFFF"/>
              </w:rPr>
              <w:t>Nivel</w:t>
            </w:r>
          </w:p>
        </w:tc>
        <w:tc>
          <w:tcPr>
            <w:tcW w:w="2880" w:type="dxa"/>
            <w:shd w:val="clear" w:color="auto" w:fill="221F1F"/>
          </w:tcPr>
          <w:p w14:paraId="1C393805" w14:textId="77777777" w:rsidR="00805AA9" w:rsidRDefault="00000000">
            <w:r>
              <w:rPr>
                <w:b/>
                <w:color w:val="FFFFFF"/>
              </w:rPr>
              <w:t>Elemento</w:t>
            </w:r>
          </w:p>
        </w:tc>
        <w:tc>
          <w:tcPr>
            <w:tcW w:w="2880" w:type="dxa"/>
            <w:shd w:val="clear" w:color="auto" w:fill="221F1F"/>
          </w:tcPr>
          <w:p w14:paraId="5A26D63B" w14:textId="77777777" w:rsidR="00805AA9" w:rsidRDefault="00000000">
            <w:r>
              <w:rPr>
                <w:b/>
                <w:color w:val="FFFFFF"/>
              </w:rPr>
              <w:t>Por qué ahí</w:t>
            </w:r>
          </w:p>
        </w:tc>
      </w:tr>
      <w:tr w:rsidR="00805AA9" w:rsidRPr="00DC58CD" w14:paraId="52DD65C7" w14:textId="77777777">
        <w:trPr>
          <w:jc w:val="center"/>
        </w:trPr>
        <w:tc>
          <w:tcPr>
            <w:tcW w:w="2880" w:type="dxa"/>
          </w:tcPr>
          <w:p w14:paraId="4A7DEDCC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1 — Lo primero que se ve</w:t>
            </w:r>
          </w:p>
        </w:tc>
        <w:tc>
          <w:tcPr>
            <w:tcW w:w="2880" w:type="dxa"/>
          </w:tcPr>
          <w:p w14:paraId="5C1889AB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4 tarjetas KPI (Total títulos, Rating promedio, Popularidad promedio, ROI mediano)</w:t>
            </w:r>
          </w:p>
        </w:tc>
        <w:tc>
          <w:tcPr>
            <w:tcW w:w="2880" w:type="dxa"/>
          </w:tcPr>
          <w:p w14:paraId="346647CD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Resume el estado del catálogo en 4 números, sin necesidad de leer un gráfico.</w:t>
            </w:r>
          </w:p>
        </w:tc>
      </w:tr>
      <w:tr w:rsidR="00805AA9" w:rsidRPr="00DC58CD" w14:paraId="1697BDB6" w14:textId="77777777">
        <w:trPr>
          <w:jc w:val="center"/>
        </w:trPr>
        <w:tc>
          <w:tcPr>
            <w:tcW w:w="2880" w:type="dxa"/>
          </w:tcPr>
          <w:p w14:paraId="12966920" w14:textId="77777777" w:rsidR="00805AA9" w:rsidRDefault="00000000">
            <w:r>
              <w:t>2 — Cuerpo principal</w:t>
            </w:r>
          </w:p>
        </w:tc>
        <w:tc>
          <w:tcPr>
            <w:tcW w:w="2880" w:type="dxa"/>
          </w:tcPr>
          <w:p w14:paraId="2F4B9E55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Gráficos agrupados por pregunta de negocio (evolución, género, geografía, financiero)</w:t>
            </w:r>
          </w:p>
        </w:tc>
        <w:tc>
          <w:tcPr>
            <w:tcW w:w="2880" w:type="dxa"/>
          </w:tcPr>
          <w:p w14:paraId="0305F51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Evita sobrecarga cognitiva; cada zona responde una sola pregunta.</w:t>
            </w:r>
          </w:p>
        </w:tc>
      </w:tr>
      <w:tr w:rsidR="00805AA9" w:rsidRPr="00DC58CD" w14:paraId="72405F53" w14:textId="77777777">
        <w:trPr>
          <w:jc w:val="center"/>
        </w:trPr>
        <w:tc>
          <w:tcPr>
            <w:tcW w:w="2880" w:type="dxa"/>
          </w:tcPr>
          <w:p w14:paraId="5655A07F" w14:textId="77777777" w:rsidR="00805AA9" w:rsidRDefault="00000000">
            <w:r>
              <w:t xml:space="preserve">3 — </w:t>
            </w:r>
            <w:proofErr w:type="spellStart"/>
            <w:r>
              <w:t>Soporte</w:t>
            </w:r>
            <w:proofErr w:type="spellEnd"/>
            <w:r>
              <w:t xml:space="preserve">, </w:t>
            </w:r>
            <w:proofErr w:type="spellStart"/>
            <w:r>
              <w:t>siempre</w:t>
            </w:r>
            <w:proofErr w:type="spellEnd"/>
            <w:r>
              <w:t xml:space="preserve"> visible</w:t>
            </w:r>
          </w:p>
        </w:tc>
        <w:tc>
          <w:tcPr>
            <w:tcW w:w="2880" w:type="dxa"/>
          </w:tcPr>
          <w:p w14:paraId="2DFB0D8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Filtros (tipo, género, país, año) en panel lateral fijo</w:t>
            </w:r>
          </w:p>
        </w:tc>
        <w:tc>
          <w:tcPr>
            <w:tcW w:w="2880" w:type="dxa"/>
          </w:tcPr>
          <w:p w14:paraId="1342519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No compite visualmente con los gráficos, pero está siempre a mano.</w:t>
            </w:r>
          </w:p>
        </w:tc>
      </w:tr>
    </w:tbl>
    <w:p w14:paraId="2A95D4B6" w14:textId="77777777" w:rsidR="00805AA9" w:rsidRPr="00001407" w:rsidRDefault="00805AA9">
      <w:pPr>
        <w:rPr>
          <w:lang w:val="es-CL"/>
        </w:rPr>
      </w:pPr>
    </w:p>
    <w:p w14:paraId="510E10C6" w14:textId="77777777" w:rsidR="00805AA9" w:rsidRDefault="00000000">
      <w:pPr>
        <w:pStyle w:val="Ttulo1"/>
      </w:pPr>
      <w:r>
        <w:rPr>
          <w:color w:val="E50914"/>
        </w:rPr>
        <w:lastRenderedPageBreak/>
        <w:t>3. Interactividad</w:t>
      </w:r>
    </w:p>
    <w:p w14:paraId="23A660C9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Filtros cruzados: tipo de contenido, género principal, país principal y rango de año — al aplicar uno, todos los gráficos de la vista se actualizan (comportamiento nativo de Power BI).</w:t>
      </w:r>
    </w:p>
    <w:p w14:paraId="40DBC53A" w14:textId="77777777" w:rsidR="00805AA9" w:rsidRPr="00001407" w:rsidRDefault="00000000">
      <w:pPr>
        <w:pStyle w:val="Listaconvietas"/>
        <w:spacing w:after="80"/>
        <w:rPr>
          <w:lang w:val="es-CL"/>
        </w:rPr>
      </w:pPr>
      <w:proofErr w:type="spellStart"/>
      <w:r w:rsidRPr="00001407">
        <w:rPr>
          <w:lang w:val="es-CL"/>
        </w:rPr>
        <w:t>Tooltips</w:t>
      </w:r>
      <w:proofErr w:type="spellEnd"/>
      <w:r w:rsidRPr="00001407">
        <w:rPr>
          <w:lang w:val="es-CL"/>
        </w:rPr>
        <w:t>: al pasar el cursor sobre una barra o punto, se muestra el detalle (título, año, rating exacto).</w:t>
      </w:r>
    </w:p>
    <w:p w14:paraId="4A2A237A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Top N dinámico: los rankings (géneros, países) muestran el Top 10 por defecto.</w:t>
      </w:r>
    </w:p>
    <w:p w14:paraId="4D9FDE41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4. Consistencia visual (paleta de colores)</w:t>
      </w:r>
    </w:p>
    <w:p w14:paraId="091E42C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 xml:space="preserve">La paleta se definió durante el EDA y se mantiene sin cambios en el notebook, el informe y 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>, para que las tres piezas se perciban como una sola solución: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5AA9" w14:paraId="5BD9E199" w14:textId="77777777">
        <w:tc>
          <w:tcPr>
            <w:tcW w:w="2880" w:type="dxa"/>
            <w:shd w:val="clear" w:color="auto" w:fill="221F1F"/>
          </w:tcPr>
          <w:p w14:paraId="68F473A1" w14:textId="77777777" w:rsidR="00805AA9" w:rsidRDefault="00000000">
            <w:r>
              <w:rPr>
                <w:b/>
                <w:color w:val="FFFFFF"/>
              </w:rPr>
              <w:t>Color</w:t>
            </w:r>
          </w:p>
        </w:tc>
        <w:tc>
          <w:tcPr>
            <w:tcW w:w="2880" w:type="dxa"/>
            <w:shd w:val="clear" w:color="auto" w:fill="221F1F"/>
          </w:tcPr>
          <w:p w14:paraId="0504CF31" w14:textId="77777777" w:rsidR="00805AA9" w:rsidRDefault="00000000">
            <w:r>
              <w:rPr>
                <w:b/>
                <w:color w:val="FFFFFF"/>
              </w:rPr>
              <w:t>Uso</w:t>
            </w:r>
          </w:p>
        </w:tc>
        <w:tc>
          <w:tcPr>
            <w:tcW w:w="2880" w:type="dxa"/>
            <w:shd w:val="clear" w:color="auto" w:fill="221F1F"/>
          </w:tcPr>
          <w:p w14:paraId="248D4D44" w14:textId="77777777" w:rsidR="00805AA9" w:rsidRDefault="00000000">
            <w:r>
              <w:rPr>
                <w:b/>
                <w:color w:val="FFFFFF"/>
              </w:rPr>
              <w:t>Código</w:t>
            </w:r>
          </w:p>
        </w:tc>
      </w:tr>
      <w:tr w:rsidR="00805AA9" w14:paraId="59010606" w14:textId="77777777">
        <w:tc>
          <w:tcPr>
            <w:tcW w:w="2880" w:type="dxa"/>
            <w:shd w:val="clear" w:color="auto" w:fill="E50914"/>
          </w:tcPr>
          <w:p w14:paraId="50B097C0" w14:textId="77777777" w:rsidR="00805AA9" w:rsidRDefault="00000000">
            <w:r>
              <w:rPr>
                <w:b/>
                <w:color w:val="FFFFFF"/>
              </w:rPr>
              <w:t>Rojo</w:t>
            </w:r>
          </w:p>
        </w:tc>
        <w:tc>
          <w:tcPr>
            <w:tcW w:w="2880" w:type="dxa"/>
          </w:tcPr>
          <w:p w14:paraId="21BA938B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 xml:space="preserve">Películas (Movie), acentos y </w:t>
            </w:r>
            <w:proofErr w:type="spellStart"/>
            <w:r w:rsidRPr="00001407">
              <w:rPr>
                <w:lang w:val="es-CL"/>
              </w:rPr>
              <w:t>KPIs</w:t>
            </w:r>
            <w:proofErr w:type="spellEnd"/>
          </w:p>
        </w:tc>
        <w:tc>
          <w:tcPr>
            <w:tcW w:w="2880" w:type="dxa"/>
          </w:tcPr>
          <w:p w14:paraId="0DBAF977" w14:textId="77777777" w:rsidR="00805AA9" w:rsidRDefault="00000000">
            <w:r>
              <w:t>#E50914</w:t>
            </w:r>
          </w:p>
        </w:tc>
      </w:tr>
      <w:tr w:rsidR="00805AA9" w14:paraId="1914A46E" w14:textId="77777777">
        <w:tc>
          <w:tcPr>
            <w:tcW w:w="2880" w:type="dxa"/>
            <w:shd w:val="clear" w:color="auto" w:fill="221F1F"/>
          </w:tcPr>
          <w:p w14:paraId="1750EC13" w14:textId="77777777" w:rsidR="00805AA9" w:rsidRDefault="00000000">
            <w:r>
              <w:rPr>
                <w:b/>
                <w:color w:val="FFFFFF"/>
              </w:rPr>
              <w:t>Negro</w:t>
            </w:r>
          </w:p>
        </w:tc>
        <w:tc>
          <w:tcPr>
            <w:tcW w:w="2880" w:type="dxa"/>
          </w:tcPr>
          <w:p w14:paraId="167D4ADB" w14:textId="77777777" w:rsidR="00805AA9" w:rsidRDefault="00000000">
            <w:r>
              <w:t>Series (TV Show), texto y estructura</w:t>
            </w:r>
          </w:p>
        </w:tc>
        <w:tc>
          <w:tcPr>
            <w:tcW w:w="2880" w:type="dxa"/>
          </w:tcPr>
          <w:p w14:paraId="5FAD5EA4" w14:textId="77777777" w:rsidR="00805AA9" w:rsidRDefault="00000000">
            <w:r>
              <w:t>#221F1F</w:t>
            </w:r>
          </w:p>
        </w:tc>
      </w:tr>
    </w:tbl>
    <w:p w14:paraId="47F4C430" w14:textId="77777777" w:rsidR="00805AA9" w:rsidRDefault="00805AA9"/>
    <w:p w14:paraId="14173012" w14:textId="77777777" w:rsidR="00805AA9" w:rsidRDefault="00000000">
      <w:pPr>
        <w:pStyle w:val="Ttulo1"/>
      </w:pPr>
      <w:r>
        <w:rPr>
          <w:color w:val="E50914"/>
        </w:rPr>
        <w:t>5. Maqueta del dashboard</w:t>
      </w:r>
    </w:p>
    <w:p w14:paraId="589BD2B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 xml:space="preserve">La siguiente maqueta indica la posición y el tipo de gráfico que corresponde a cada zona del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 xml:space="preserve">. No es 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 xml:space="preserve"> final — es la referencia de diseño para su construcción en Power BI.</w:t>
      </w:r>
    </w:p>
    <w:p w14:paraId="6CEFAED0" w14:textId="77777777" w:rsidR="00805AA9" w:rsidRDefault="00000000">
      <w:pPr>
        <w:jc w:val="center"/>
      </w:pPr>
      <w:r>
        <w:rPr>
          <w:noProof/>
        </w:rPr>
        <w:drawing>
          <wp:inline distT="0" distB="0" distL="0" distR="0" wp14:anchorId="5499C0D5" wp14:editId="10EB0B6D">
            <wp:extent cx="5471160" cy="292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eta_dashboard.png"/>
                    <pic:cNvPicPr/>
                  </pic:nvPicPr>
                  <pic:blipFill rotWithShape="1">
                    <a:blip r:embed="rId8"/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302" cy="292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256D3" w14:textId="272717A0" w:rsidR="00805AA9" w:rsidRPr="00001407" w:rsidRDefault="00805AA9">
      <w:pPr>
        <w:jc w:val="center"/>
        <w:rPr>
          <w:lang w:val="es-CL"/>
        </w:rPr>
      </w:pPr>
    </w:p>
    <w:sectPr w:rsidR="00805AA9" w:rsidRPr="0000140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BB9E" w14:textId="77777777" w:rsidR="009818C0" w:rsidRDefault="009818C0" w:rsidP="00DC58CD">
      <w:pPr>
        <w:spacing w:after="0" w:line="240" w:lineRule="auto"/>
      </w:pPr>
      <w:r>
        <w:separator/>
      </w:r>
    </w:p>
  </w:endnote>
  <w:endnote w:type="continuationSeparator" w:id="0">
    <w:p w14:paraId="0E0A25BD" w14:textId="77777777" w:rsidR="009818C0" w:rsidRDefault="009818C0" w:rsidP="00DC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1B9A" w14:textId="77777777" w:rsidR="009818C0" w:rsidRDefault="009818C0" w:rsidP="00DC58CD">
      <w:pPr>
        <w:spacing w:after="0" w:line="240" w:lineRule="auto"/>
      </w:pPr>
      <w:r>
        <w:separator/>
      </w:r>
    </w:p>
  </w:footnote>
  <w:footnote w:type="continuationSeparator" w:id="0">
    <w:p w14:paraId="1B9921BD" w14:textId="77777777" w:rsidR="009818C0" w:rsidRDefault="009818C0" w:rsidP="00DC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25B5" w14:textId="4ACD8D76" w:rsidR="00DC58CD" w:rsidRDefault="00DC58C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88B774" wp14:editId="1605505E">
          <wp:simplePos x="0" y="0"/>
          <wp:positionH relativeFrom="column">
            <wp:posOffset>-769620</wp:posOffset>
          </wp:positionH>
          <wp:positionV relativeFrom="paragraph">
            <wp:posOffset>-266700</wp:posOffset>
          </wp:positionV>
          <wp:extent cx="1425575" cy="350520"/>
          <wp:effectExtent l="0" t="0" r="3175" b="0"/>
          <wp:wrapTight wrapText="bothSides">
            <wp:wrapPolygon edited="0">
              <wp:start x="18762" y="0"/>
              <wp:lineTo x="0" y="3522"/>
              <wp:lineTo x="0" y="19957"/>
              <wp:lineTo x="18473" y="19957"/>
              <wp:lineTo x="20205" y="19957"/>
              <wp:lineTo x="21071" y="18783"/>
              <wp:lineTo x="21359" y="14087"/>
              <wp:lineTo x="21359" y="5870"/>
              <wp:lineTo x="19916" y="0"/>
              <wp:lineTo x="18762" y="0"/>
            </wp:wrapPolygon>
          </wp:wrapTight>
          <wp:docPr id="6277295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575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5A0C4F" w14:textId="77777777" w:rsidR="00DC58CD" w:rsidRDefault="00DC58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132792">
    <w:abstractNumId w:val="8"/>
  </w:num>
  <w:num w:numId="2" w16cid:durableId="1487016279">
    <w:abstractNumId w:val="6"/>
  </w:num>
  <w:num w:numId="3" w16cid:durableId="799886705">
    <w:abstractNumId w:val="5"/>
  </w:num>
  <w:num w:numId="4" w16cid:durableId="2080322790">
    <w:abstractNumId w:val="4"/>
  </w:num>
  <w:num w:numId="5" w16cid:durableId="1687243140">
    <w:abstractNumId w:val="7"/>
  </w:num>
  <w:num w:numId="6" w16cid:durableId="91365955">
    <w:abstractNumId w:val="3"/>
  </w:num>
  <w:num w:numId="7" w16cid:durableId="394163602">
    <w:abstractNumId w:val="2"/>
  </w:num>
  <w:num w:numId="8" w16cid:durableId="457455120">
    <w:abstractNumId w:val="1"/>
  </w:num>
  <w:num w:numId="9" w16cid:durableId="7603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7"/>
    <w:rsid w:val="000235CB"/>
    <w:rsid w:val="00034616"/>
    <w:rsid w:val="0006063C"/>
    <w:rsid w:val="0015074B"/>
    <w:rsid w:val="0029639D"/>
    <w:rsid w:val="00326F90"/>
    <w:rsid w:val="00443327"/>
    <w:rsid w:val="00805AA9"/>
    <w:rsid w:val="009818C0"/>
    <w:rsid w:val="00AA1D8D"/>
    <w:rsid w:val="00B47730"/>
    <w:rsid w:val="00CB0664"/>
    <w:rsid w:val="00DC5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03F22"/>
  <w14:defaultImageDpi w14:val="300"/>
  <w15:docId w15:val="{A2A17F61-CA7D-456B-935F-2998EFDF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aguirre machuca</cp:lastModifiedBy>
  <cp:revision>3</cp:revision>
  <dcterms:created xsi:type="dcterms:W3CDTF">2013-12-23T23:15:00Z</dcterms:created>
  <dcterms:modified xsi:type="dcterms:W3CDTF">2026-09-06T20:41:00Z</dcterms:modified>
  <cp:category/>
</cp:coreProperties>
</file>