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044BA" w14:textId="77777777" w:rsidR="00805AA9" w:rsidRPr="00001407" w:rsidRDefault="00000000">
      <w:pPr>
        <w:jc w:val="center"/>
        <w:rPr>
          <w:lang w:val="es-CL"/>
        </w:rPr>
      </w:pPr>
      <w:proofErr w:type="spellStart"/>
      <w:r w:rsidRPr="00001407">
        <w:rPr>
          <w:b/>
          <w:color w:val="E50914"/>
          <w:sz w:val="60"/>
          <w:lang w:val="es-CL"/>
        </w:rPr>
        <w:t>StreamView</w:t>
      </w:r>
      <w:proofErr w:type="spellEnd"/>
      <w:r w:rsidRPr="00001407">
        <w:rPr>
          <w:b/>
          <w:color w:val="E50914"/>
          <w:sz w:val="60"/>
          <w:lang w:val="es-CL"/>
        </w:rPr>
        <w:t xml:space="preserve"> </w:t>
      </w:r>
      <w:proofErr w:type="spellStart"/>
      <w:r w:rsidRPr="00001407">
        <w:rPr>
          <w:b/>
          <w:color w:val="E50914"/>
          <w:sz w:val="60"/>
          <w:lang w:val="es-CL"/>
        </w:rPr>
        <w:t>Analytics</w:t>
      </w:r>
      <w:proofErr w:type="spellEnd"/>
    </w:p>
    <w:p w14:paraId="46B9719B" w14:textId="4C8CD040" w:rsidR="00805AA9" w:rsidRPr="00001407" w:rsidRDefault="00000000">
      <w:pPr>
        <w:jc w:val="center"/>
        <w:rPr>
          <w:lang w:val="es-CL"/>
        </w:rPr>
      </w:pPr>
      <w:r w:rsidRPr="00001407">
        <w:rPr>
          <w:b/>
          <w:color w:val="221F1F"/>
          <w:sz w:val="32"/>
          <w:lang w:val="es-CL"/>
        </w:rPr>
        <w:t>Diseño de la Visualización</w:t>
      </w:r>
    </w:p>
    <w:p w14:paraId="53481F93" w14:textId="2C735B2D" w:rsidR="00805AA9" w:rsidRPr="00001407" w:rsidRDefault="00001407">
      <w:pPr>
        <w:jc w:val="center"/>
        <w:rPr>
          <w:lang w:val="es-CL"/>
        </w:rPr>
      </w:pPr>
      <w:r>
        <w:rPr>
          <w:color w:val="595959"/>
          <w:lang w:val="es-CL"/>
        </w:rPr>
        <w:t>Alumnos: Carolina Aguirre – Javier Albornoz</w:t>
      </w:r>
    </w:p>
    <w:p w14:paraId="10F02332" w14:textId="77777777" w:rsidR="00805AA9" w:rsidRPr="00001407" w:rsidRDefault="00805AA9">
      <w:pPr>
        <w:rPr>
          <w:lang w:val="es-CL"/>
        </w:rPr>
      </w:pPr>
    </w:p>
    <w:p w14:paraId="6782F201" w14:textId="77777777" w:rsidR="00805AA9" w:rsidRPr="00001407" w:rsidRDefault="00000000">
      <w:pPr>
        <w:pStyle w:val="Ttulo1"/>
        <w:rPr>
          <w:lang w:val="es-CL"/>
        </w:rPr>
      </w:pPr>
      <w:r w:rsidRPr="00001407">
        <w:rPr>
          <w:color w:val="E50914"/>
          <w:lang w:val="es-CL"/>
        </w:rPr>
        <w:t>1. ¿Qué queremos comunicar?</w:t>
      </w:r>
    </w:p>
    <w:p w14:paraId="258AFD16" w14:textId="77777777" w:rsidR="00805AA9" w:rsidRPr="00001407" w:rsidRDefault="00000000">
      <w:pPr>
        <w:spacing w:after="160"/>
        <w:rPr>
          <w:color w:val="000000" w:themeColor="text1"/>
          <w:lang w:val="es-CL"/>
        </w:rPr>
      </w:pPr>
      <w:r w:rsidRPr="00001407">
        <w:rPr>
          <w:color w:val="000000" w:themeColor="text1"/>
          <w:lang w:val="es-CL"/>
        </w:rPr>
        <w:t xml:space="preserve">El </w:t>
      </w:r>
      <w:proofErr w:type="spellStart"/>
      <w:r w:rsidRPr="00001407">
        <w:rPr>
          <w:color w:val="000000" w:themeColor="text1"/>
          <w:lang w:val="es-CL"/>
        </w:rPr>
        <w:t>dashboard</w:t>
      </w:r>
      <w:proofErr w:type="spellEnd"/>
      <w:r w:rsidRPr="00001407">
        <w:rPr>
          <w:color w:val="000000" w:themeColor="text1"/>
          <w:lang w:val="es-CL"/>
        </w:rPr>
        <w:t xml:space="preserve"> debe transmitir, en el menor tiempo posible, un mensaje central que resuma el desempeño del catálogo y oriente decisiones de adquisición, producción y promoción:</w:t>
      </w:r>
    </w:p>
    <w:p w14:paraId="601BFDF9" w14:textId="77777777" w:rsidR="00805AA9" w:rsidRPr="00001407" w:rsidRDefault="00000000">
      <w:pPr>
        <w:ind w:left="454"/>
        <w:rPr>
          <w:color w:val="000000" w:themeColor="text1"/>
          <w:lang w:val="es-CL"/>
        </w:rPr>
      </w:pPr>
      <w:r w:rsidRPr="00001407">
        <w:rPr>
          <w:i/>
          <w:color w:val="000000" w:themeColor="text1"/>
          <w:lang w:val="es-CL"/>
        </w:rPr>
        <w:t xml:space="preserve">“El volumen del catálogo no predice su desempeño. Los géneros con más títulos (Drama, Comedia) no son los mejor evaluados ni los de mejor retorno financiero — hay una oportunidad concreta de </w:t>
      </w:r>
      <w:proofErr w:type="spellStart"/>
      <w:r w:rsidRPr="00001407">
        <w:rPr>
          <w:i/>
          <w:color w:val="000000" w:themeColor="text1"/>
          <w:lang w:val="es-CL"/>
        </w:rPr>
        <w:t>rebalancear</w:t>
      </w:r>
      <w:proofErr w:type="spellEnd"/>
      <w:r w:rsidRPr="00001407">
        <w:rPr>
          <w:i/>
          <w:color w:val="000000" w:themeColor="text1"/>
          <w:lang w:val="es-CL"/>
        </w:rPr>
        <w:t xml:space="preserve"> inversión hacia géneros de nicho con mejor rating (Animación, Documentales) y mejor ROI (Animación, Horror).”</w:t>
      </w:r>
    </w:p>
    <w:p w14:paraId="2CEB1027" w14:textId="77777777" w:rsidR="00805AA9" w:rsidRPr="00001407" w:rsidRDefault="00000000">
      <w:pPr>
        <w:spacing w:after="160"/>
        <w:rPr>
          <w:lang w:val="es-CL"/>
        </w:rPr>
      </w:pPr>
      <w:r w:rsidRPr="00001407">
        <w:rPr>
          <w:b/>
          <w:lang w:val="es-CL"/>
        </w:rPr>
        <w:t xml:space="preserve">Este mensaje se sostiene en tres </w:t>
      </w:r>
      <w:proofErr w:type="spellStart"/>
      <w:r w:rsidRPr="00001407">
        <w:rPr>
          <w:b/>
          <w:lang w:val="es-CL"/>
        </w:rPr>
        <w:t>sub-mensajes</w:t>
      </w:r>
      <w:proofErr w:type="spellEnd"/>
      <w:r w:rsidRPr="00001407">
        <w:rPr>
          <w:b/>
          <w:lang w:val="es-CL"/>
        </w:rPr>
        <w:t xml:space="preserve">, uno por cada bloque del </w:t>
      </w:r>
      <w:proofErr w:type="spellStart"/>
      <w:r w:rsidRPr="00001407">
        <w:rPr>
          <w:b/>
          <w:lang w:val="es-CL"/>
        </w:rPr>
        <w:t>dashboard</w:t>
      </w:r>
      <w:proofErr w:type="spellEnd"/>
      <w:r w:rsidRPr="00001407">
        <w:rPr>
          <w:b/>
          <w:lang w:val="es-CL"/>
        </w:rPr>
        <w:t>:</w:t>
      </w:r>
    </w:p>
    <w:p w14:paraId="50D761B6" w14:textId="77777777" w:rsidR="00805AA9" w:rsidRPr="00001407" w:rsidRDefault="00000000">
      <w:pPr>
        <w:pStyle w:val="Listaconvietas"/>
        <w:spacing w:after="80"/>
        <w:rPr>
          <w:lang w:val="es-CL"/>
        </w:rPr>
      </w:pPr>
      <w:r w:rsidRPr="00001407">
        <w:rPr>
          <w:lang w:val="es-CL"/>
        </w:rPr>
        <w:t>Volumen ≠ calidad — bloque de género y desempeño.</w:t>
      </w:r>
    </w:p>
    <w:p w14:paraId="71CC7023" w14:textId="77777777" w:rsidR="00805AA9" w:rsidRDefault="00000000">
      <w:pPr>
        <w:pStyle w:val="Listaconvietas"/>
        <w:spacing w:after="80"/>
      </w:pPr>
      <w:proofErr w:type="spellStart"/>
      <w:r>
        <w:t>Presupuesto</w:t>
      </w:r>
      <w:proofErr w:type="spellEnd"/>
      <w:r>
        <w:t xml:space="preserve"> ≠ </w:t>
      </w:r>
      <w:proofErr w:type="spellStart"/>
      <w:r>
        <w:t>retorno</w:t>
      </w:r>
      <w:proofErr w:type="spellEnd"/>
      <w:r>
        <w:t xml:space="preserve"> — bloque financiero.</w:t>
      </w:r>
    </w:p>
    <w:p w14:paraId="4AF6D391" w14:textId="77777777" w:rsidR="00805AA9" w:rsidRPr="00001407" w:rsidRDefault="00000000">
      <w:pPr>
        <w:pStyle w:val="Listaconvietas"/>
        <w:spacing w:after="80"/>
        <w:rPr>
          <w:lang w:val="es-CL"/>
        </w:rPr>
      </w:pPr>
      <w:r w:rsidRPr="00001407">
        <w:rPr>
          <w:lang w:val="es-CL"/>
        </w:rPr>
        <w:t>Hay 5 mercados concentrados que orientan dónde priorizar — bloque geográfico.</w:t>
      </w:r>
    </w:p>
    <w:p w14:paraId="7A1F4E65" w14:textId="77777777" w:rsidR="00805AA9" w:rsidRPr="00001407" w:rsidRDefault="00000000">
      <w:pPr>
        <w:pStyle w:val="Ttulo1"/>
        <w:rPr>
          <w:lang w:val="es-CL"/>
        </w:rPr>
      </w:pPr>
      <w:r w:rsidRPr="00001407">
        <w:rPr>
          <w:color w:val="E50914"/>
          <w:lang w:val="es-CL"/>
        </w:rPr>
        <w:t>2. Jerarquía visual</w:t>
      </w:r>
    </w:p>
    <w:p w14:paraId="1E0F680A" w14:textId="77777777" w:rsidR="00805AA9" w:rsidRPr="00001407" w:rsidRDefault="00000000">
      <w:pPr>
        <w:spacing w:after="160"/>
        <w:rPr>
          <w:lang w:val="es-CL"/>
        </w:rPr>
      </w:pPr>
      <w:r w:rsidRPr="00001407">
        <w:rPr>
          <w:lang w:val="es-CL"/>
        </w:rPr>
        <w:t>La información se organiza en tres niveles de prominencia, para que el Gerente de Contenidos pueda leer el estado general en segundos y luego profundizar solo en lo que le interese: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05AA9" w14:paraId="1EF57B0A" w14:textId="77777777">
        <w:trPr>
          <w:jc w:val="center"/>
        </w:trPr>
        <w:tc>
          <w:tcPr>
            <w:tcW w:w="2880" w:type="dxa"/>
            <w:shd w:val="clear" w:color="auto" w:fill="221F1F"/>
          </w:tcPr>
          <w:p w14:paraId="5016F81C" w14:textId="77777777" w:rsidR="00805AA9" w:rsidRDefault="00000000">
            <w:r>
              <w:rPr>
                <w:b/>
                <w:color w:val="FFFFFF"/>
              </w:rPr>
              <w:t>Nivel</w:t>
            </w:r>
          </w:p>
        </w:tc>
        <w:tc>
          <w:tcPr>
            <w:tcW w:w="2880" w:type="dxa"/>
            <w:shd w:val="clear" w:color="auto" w:fill="221F1F"/>
          </w:tcPr>
          <w:p w14:paraId="1C393805" w14:textId="77777777" w:rsidR="00805AA9" w:rsidRDefault="00000000">
            <w:r>
              <w:rPr>
                <w:b/>
                <w:color w:val="FFFFFF"/>
              </w:rPr>
              <w:t>Elemento</w:t>
            </w:r>
          </w:p>
        </w:tc>
        <w:tc>
          <w:tcPr>
            <w:tcW w:w="2880" w:type="dxa"/>
            <w:shd w:val="clear" w:color="auto" w:fill="221F1F"/>
          </w:tcPr>
          <w:p w14:paraId="5A26D63B" w14:textId="77777777" w:rsidR="00805AA9" w:rsidRDefault="00000000">
            <w:r>
              <w:rPr>
                <w:b/>
                <w:color w:val="FFFFFF"/>
              </w:rPr>
              <w:t>Por qué ahí</w:t>
            </w:r>
          </w:p>
        </w:tc>
      </w:tr>
      <w:tr w:rsidR="00805AA9" w:rsidRPr="00DC58CD" w14:paraId="52DD65C7" w14:textId="77777777">
        <w:trPr>
          <w:jc w:val="center"/>
        </w:trPr>
        <w:tc>
          <w:tcPr>
            <w:tcW w:w="2880" w:type="dxa"/>
          </w:tcPr>
          <w:p w14:paraId="4A7DEDCC" w14:textId="77777777" w:rsidR="00805AA9" w:rsidRPr="00001407" w:rsidRDefault="00000000">
            <w:pPr>
              <w:rPr>
                <w:lang w:val="es-CL"/>
              </w:rPr>
            </w:pPr>
            <w:r w:rsidRPr="00001407">
              <w:rPr>
                <w:lang w:val="es-CL"/>
              </w:rPr>
              <w:t>1 — Lo primero que se ve</w:t>
            </w:r>
          </w:p>
        </w:tc>
        <w:tc>
          <w:tcPr>
            <w:tcW w:w="2880" w:type="dxa"/>
          </w:tcPr>
          <w:p w14:paraId="5C1889AB" w14:textId="77777777" w:rsidR="00805AA9" w:rsidRPr="00001407" w:rsidRDefault="00000000">
            <w:pPr>
              <w:rPr>
                <w:lang w:val="es-CL"/>
              </w:rPr>
            </w:pPr>
            <w:r w:rsidRPr="00001407">
              <w:rPr>
                <w:lang w:val="es-CL"/>
              </w:rPr>
              <w:t>4 tarjetas KPI (Total títulos, Rating promedio, Popularidad promedio, ROI mediano)</w:t>
            </w:r>
          </w:p>
        </w:tc>
        <w:tc>
          <w:tcPr>
            <w:tcW w:w="2880" w:type="dxa"/>
          </w:tcPr>
          <w:p w14:paraId="346647CD" w14:textId="77777777" w:rsidR="00805AA9" w:rsidRPr="00001407" w:rsidRDefault="00000000">
            <w:pPr>
              <w:rPr>
                <w:lang w:val="es-CL"/>
              </w:rPr>
            </w:pPr>
            <w:r w:rsidRPr="00001407">
              <w:rPr>
                <w:lang w:val="es-CL"/>
              </w:rPr>
              <w:t>Resume el estado del catálogo en 4 números, sin necesidad de leer un gráfico.</w:t>
            </w:r>
          </w:p>
        </w:tc>
      </w:tr>
      <w:tr w:rsidR="00805AA9" w:rsidRPr="00DC58CD" w14:paraId="1697BDB6" w14:textId="77777777">
        <w:trPr>
          <w:jc w:val="center"/>
        </w:trPr>
        <w:tc>
          <w:tcPr>
            <w:tcW w:w="2880" w:type="dxa"/>
          </w:tcPr>
          <w:p w14:paraId="12966920" w14:textId="77777777" w:rsidR="00805AA9" w:rsidRDefault="00000000">
            <w:r>
              <w:t>2 — Cuerpo principal</w:t>
            </w:r>
          </w:p>
        </w:tc>
        <w:tc>
          <w:tcPr>
            <w:tcW w:w="2880" w:type="dxa"/>
          </w:tcPr>
          <w:p w14:paraId="2F4B9E55" w14:textId="77777777" w:rsidR="00805AA9" w:rsidRPr="00001407" w:rsidRDefault="00000000">
            <w:pPr>
              <w:rPr>
                <w:lang w:val="es-CL"/>
              </w:rPr>
            </w:pPr>
            <w:r w:rsidRPr="00001407">
              <w:rPr>
                <w:lang w:val="es-CL"/>
              </w:rPr>
              <w:t>Gráficos agrupados por pregunta de negocio (evolución, género, geografía, financiero)</w:t>
            </w:r>
          </w:p>
        </w:tc>
        <w:tc>
          <w:tcPr>
            <w:tcW w:w="2880" w:type="dxa"/>
          </w:tcPr>
          <w:p w14:paraId="0305F514" w14:textId="77777777" w:rsidR="00805AA9" w:rsidRPr="00001407" w:rsidRDefault="00000000">
            <w:pPr>
              <w:rPr>
                <w:lang w:val="es-CL"/>
              </w:rPr>
            </w:pPr>
            <w:r w:rsidRPr="00001407">
              <w:rPr>
                <w:lang w:val="es-CL"/>
              </w:rPr>
              <w:t>Evita sobrecarga cognitiva; cada zona responde una sola pregunta.</w:t>
            </w:r>
          </w:p>
        </w:tc>
      </w:tr>
      <w:tr w:rsidR="00805AA9" w:rsidRPr="00DC58CD" w14:paraId="72405F53" w14:textId="77777777">
        <w:trPr>
          <w:jc w:val="center"/>
        </w:trPr>
        <w:tc>
          <w:tcPr>
            <w:tcW w:w="2880" w:type="dxa"/>
          </w:tcPr>
          <w:p w14:paraId="5655A07F" w14:textId="77777777" w:rsidR="00805AA9" w:rsidRDefault="00000000">
            <w:r>
              <w:t xml:space="preserve">3 — </w:t>
            </w:r>
            <w:proofErr w:type="spellStart"/>
            <w:r>
              <w:t>Soporte</w:t>
            </w:r>
            <w:proofErr w:type="spellEnd"/>
            <w:r>
              <w:t xml:space="preserve">, </w:t>
            </w:r>
            <w:proofErr w:type="spellStart"/>
            <w:r>
              <w:t>siempre</w:t>
            </w:r>
            <w:proofErr w:type="spellEnd"/>
            <w:r>
              <w:t xml:space="preserve"> visible</w:t>
            </w:r>
          </w:p>
        </w:tc>
        <w:tc>
          <w:tcPr>
            <w:tcW w:w="2880" w:type="dxa"/>
          </w:tcPr>
          <w:p w14:paraId="2DFB0D84" w14:textId="77777777" w:rsidR="00805AA9" w:rsidRPr="00001407" w:rsidRDefault="00000000">
            <w:pPr>
              <w:rPr>
                <w:lang w:val="es-CL"/>
              </w:rPr>
            </w:pPr>
            <w:r w:rsidRPr="00001407">
              <w:rPr>
                <w:lang w:val="es-CL"/>
              </w:rPr>
              <w:t>Filtros (tipo, género, país, año) en panel lateral fijo</w:t>
            </w:r>
          </w:p>
        </w:tc>
        <w:tc>
          <w:tcPr>
            <w:tcW w:w="2880" w:type="dxa"/>
          </w:tcPr>
          <w:p w14:paraId="13425194" w14:textId="77777777" w:rsidR="00805AA9" w:rsidRPr="00001407" w:rsidRDefault="00000000">
            <w:pPr>
              <w:rPr>
                <w:lang w:val="es-CL"/>
              </w:rPr>
            </w:pPr>
            <w:r w:rsidRPr="00001407">
              <w:rPr>
                <w:lang w:val="es-CL"/>
              </w:rPr>
              <w:t>No compite visualmente con los gráficos, pero está siempre a mano.</w:t>
            </w:r>
          </w:p>
        </w:tc>
      </w:tr>
    </w:tbl>
    <w:p w14:paraId="2A95D4B6" w14:textId="77777777" w:rsidR="00805AA9" w:rsidRPr="00001407" w:rsidRDefault="00805AA9">
      <w:pPr>
        <w:rPr>
          <w:lang w:val="es-CL"/>
        </w:rPr>
      </w:pPr>
    </w:p>
    <w:p w14:paraId="510E10C6" w14:textId="77777777" w:rsidR="00805AA9" w:rsidRDefault="00000000">
      <w:pPr>
        <w:pStyle w:val="Ttulo1"/>
      </w:pPr>
      <w:r>
        <w:rPr>
          <w:color w:val="E50914"/>
        </w:rPr>
        <w:lastRenderedPageBreak/>
        <w:t>3. Interactividad</w:t>
      </w:r>
    </w:p>
    <w:p w14:paraId="23A660C9" w14:textId="77777777" w:rsidR="00805AA9" w:rsidRPr="00001407" w:rsidRDefault="00000000">
      <w:pPr>
        <w:pStyle w:val="Listaconvietas"/>
        <w:spacing w:after="80"/>
        <w:rPr>
          <w:lang w:val="es-CL"/>
        </w:rPr>
      </w:pPr>
      <w:r w:rsidRPr="00001407">
        <w:rPr>
          <w:lang w:val="es-CL"/>
        </w:rPr>
        <w:t>Filtros cruzados: tipo de contenido, género principal, país principal y rango de año — al aplicar uno, todos los gráficos de la vista se actualizan (comportamiento nativo de Power BI).</w:t>
      </w:r>
    </w:p>
    <w:p w14:paraId="40DBC53A" w14:textId="77777777" w:rsidR="00805AA9" w:rsidRPr="00001407" w:rsidRDefault="00000000">
      <w:pPr>
        <w:pStyle w:val="Listaconvietas"/>
        <w:spacing w:after="80"/>
        <w:rPr>
          <w:lang w:val="es-CL"/>
        </w:rPr>
      </w:pPr>
      <w:proofErr w:type="spellStart"/>
      <w:r w:rsidRPr="00001407">
        <w:rPr>
          <w:lang w:val="es-CL"/>
        </w:rPr>
        <w:t>Tooltips</w:t>
      </w:r>
      <w:proofErr w:type="spellEnd"/>
      <w:r w:rsidRPr="00001407">
        <w:rPr>
          <w:lang w:val="es-CL"/>
        </w:rPr>
        <w:t>: al pasar el cursor sobre una barra o punto, se muestra el detalle (título, año, rating exacto).</w:t>
      </w:r>
    </w:p>
    <w:p w14:paraId="4A2A237A" w14:textId="77777777" w:rsidR="00805AA9" w:rsidRPr="00001407" w:rsidRDefault="00000000">
      <w:pPr>
        <w:pStyle w:val="Listaconvietas"/>
        <w:spacing w:after="80"/>
        <w:rPr>
          <w:lang w:val="es-CL"/>
        </w:rPr>
      </w:pPr>
      <w:r w:rsidRPr="00001407">
        <w:rPr>
          <w:lang w:val="es-CL"/>
        </w:rPr>
        <w:t>Top N dinámico: los rankings (géneros, países) muestran el Top 10 por defecto.</w:t>
      </w:r>
    </w:p>
    <w:p w14:paraId="4D9FDE41" w14:textId="77777777" w:rsidR="00805AA9" w:rsidRPr="00001407" w:rsidRDefault="00000000">
      <w:pPr>
        <w:pStyle w:val="Ttulo1"/>
        <w:rPr>
          <w:lang w:val="es-CL"/>
        </w:rPr>
      </w:pPr>
      <w:r w:rsidRPr="00001407">
        <w:rPr>
          <w:color w:val="E50914"/>
          <w:lang w:val="es-CL"/>
        </w:rPr>
        <w:t>4. Consistencia visual (paleta de colores)</w:t>
      </w:r>
    </w:p>
    <w:p w14:paraId="091E42C7" w14:textId="77777777" w:rsidR="00805AA9" w:rsidRPr="00001407" w:rsidRDefault="00000000">
      <w:pPr>
        <w:spacing w:after="160"/>
        <w:rPr>
          <w:lang w:val="es-CL"/>
        </w:rPr>
      </w:pPr>
      <w:r w:rsidRPr="00001407">
        <w:rPr>
          <w:lang w:val="es-CL"/>
        </w:rPr>
        <w:t xml:space="preserve">La paleta se definió durante el EDA y se mantiene sin cambios en el notebook, el informe y el </w:t>
      </w:r>
      <w:proofErr w:type="spellStart"/>
      <w:r w:rsidRPr="00001407">
        <w:rPr>
          <w:lang w:val="es-CL"/>
        </w:rPr>
        <w:t>dashboard</w:t>
      </w:r>
      <w:proofErr w:type="spellEnd"/>
      <w:r w:rsidRPr="00001407">
        <w:rPr>
          <w:lang w:val="es-CL"/>
        </w:rPr>
        <w:t>, para que las tres piezas se perciban como una sola solución: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05AA9" w14:paraId="5BD9E199" w14:textId="77777777">
        <w:tc>
          <w:tcPr>
            <w:tcW w:w="2880" w:type="dxa"/>
            <w:shd w:val="clear" w:color="auto" w:fill="221F1F"/>
          </w:tcPr>
          <w:p w14:paraId="68F473A1" w14:textId="77777777" w:rsidR="00805AA9" w:rsidRDefault="00000000">
            <w:r>
              <w:rPr>
                <w:b/>
                <w:color w:val="FFFFFF"/>
              </w:rPr>
              <w:t>Color</w:t>
            </w:r>
          </w:p>
        </w:tc>
        <w:tc>
          <w:tcPr>
            <w:tcW w:w="2880" w:type="dxa"/>
            <w:shd w:val="clear" w:color="auto" w:fill="221F1F"/>
          </w:tcPr>
          <w:p w14:paraId="0504CF31" w14:textId="77777777" w:rsidR="00805AA9" w:rsidRDefault="00000000">
            <w:r>
              <w:rPr>
                <w:b/>
                <w:color w:val="FFFFFF"/>
              </w:rPr>
              <w:t>Uso</w:t>
            </w:r>
          </w:p>
        </w:tc>
        <w:tc>
          <w:tcPr>
            <w:tcW w:w="2880" w:type="dxa"/>
            <w:shd w:val="clear" w:color="auto" w:fill="221F1F"/>
          </w:tcPr>
          <w:p w14:paraId="248D4D44" w14:textId="77777777" w:rsidR="00805AA9" w:rsidRDefault="00000000">
            <w:r>
              <w:rPr>
                <w:b/>
                <w:color w:val="FFFFFF"/>
              </w:rPr>
              <w:t>Código</w:t>
            </w:r>
          </w:p>
        </w:tc>
      </w:tr>
      <w:tr w:rsidR="00805AA9" w14:paraId="59010606" w14:textId="77777777">
        <w:tc>
          <w:tcPr>
            <w:tcW w:w="2880" w:type="dxa"/>
            <w:shd w:val="clear" w:color="auto" w:fill="E50914"/>
          </w:tcPr>
          <w:p w14:paraId="50B097C0" w14:textId="77777777" w:rsidR="00805AA9" w:rsidRDefault="00000000">
            <w:r>
              <w:rPr>
                <w:b/>
                <w:color w:val="FFFFFF"/>
              </w:rPr>
              <w:t>Rojo</w:t>
            </w:r>
          </w:p>
        </w:tc>
        <w:tc>
          <w:tcPr>
            <w:tcW w:w="2880" w:type="dxa"/>
          </w:tcPr>
          <w:p w14:paraId="21BA938B" w14:textId="77777777" w:rsidR="00805AA9" w:rsidRPr="00001407" w:rsidRDefault="00000000">
            <w:pPr>
              <w:rPr>
                <w:lang w:val="es-CL"/>
              </w:rPr>
            </w:pPr>
            <w:r w:rsidRPr="00001407">
              <w:rPr>
                <w:lang w:val="es-CL"/>
              </w:rPr>
              <w:t xml:space="preserve">Películas (Movie), acentos y </w:t>
            </w:r>
            <w:proofErr w:type="spellStart"/>
            <w:r w:rsidRPr="00001407">
              <w:rPr>
                <w:lang w:val="es-CL"/>
              </w:rPr>
              <w:t>KPIs</w:t>
            </w:r>
            <w:proofErr w:type="spellEnd"/>
          </w:p>
        </w:tc>
        <w:tc>
          <w:tcPr>
            <w:tcW w:w="2880" w:type="dxa"/>
          </w:tcPr>
          <w:p w14:paraId="0DBAF977" w14:textId="77777777" w:rsidR="00805AA9" w:rsidRDefault="00000000">
            <w:r>
              <w:t>#E50914</w:t>
            </w:r>
          </w:p>
        </w:tc>
      </w:tr>
      <w:tr w:rsidR="00805AA9" w14:paraId="1914A46E" w14:textId="77777777">
        <w:tc>
          <w:tcPr>
            <w:tcW w:w="2880" w:type="dxa"/>
            <w:shd w:val="clear" w:color="auto" w:fill="221F1F"/>
          </w:tcPr>
          <w:p w14:paraId="1750EC13" w14:textId="77777777" w:rsidR="00805AA9" w:rsidRDefault="00000000">
            <w:r>
              <w:rPr>
                <w:b/>
                <w:color w:val="FFFFFF"/>
              </w:rPr>
              <w:t>Negro</w:t>
            </w:r>
          </w:p>
        </w:tc>
        <w:tc>
          <w:tcPr>
            <w:tcW w:w="2880" w:type="dxa"/>
          </w:tcPr>
          <w:p w14:paraId="167D4ADB" w14:textId="77777777" w:rsidR="00805AA9" w:rsidRDefault="00000000">
            <w:r>
              <w:t>Series (TV Show), texto y estructura</w:t>
            </w:r>
          </w:p>
        </w:tc>
        <w:tc>
          <w:tcPr>
            <w:tcW w:w="2880" w:type="dxa"/>
          </w:tcPr>
          <w:p w14:paraId="5FAD5EA4" w14:textId="77777777" w:rsidR="00805AA9" w:rsidRDefault="00000000">
            <w:r>
              <w:t>#221F1F</w:t>
            </w:r>
          </w:p>
        </w:tc>
      </w:tr>
    </w:tbl>
    <w:p w14:paraId="47F4C430" w14:textId="77777777" w:rsidR="00805AA9" w:rsidRDefault="00805AA9"/>
    <w:p w14:paraId="14173012" w14:textId="77777777" w:rsidR="00805AA9" w:rsidRDefault="00000000">
      <w:pPr>
        <w:pStyle w:val="Ttulo1"/>
      </w:pPr>
      <w:r>
        <w:rPr>
          <w:color w:val="E50914"/>
        </w:rPr>
        <w:t>5. Maqueta del dashboard</w:t>
      </w:r>
    </w:p>
    <w:p w14:paraId="589BD2B7" w14:textId="77777777" w:rsidR="00805AA9" w:rsidRPr="00001407" w:rsidRDefault="00000000">
      <w:pPr>
        <w:spacing w:after="160"/>
        <w:rPr>
          <w:lang w:val="es-CL"/>
        </w:rPr>
      </w:pPr>
      <w:r w:rsidRPr="00001407">
        <w:rPr>
          <w:lang w:val="es-CL"/>
        </w:rPr>
        <w:t xml:space="preserve">La siguiente maqueta indica la posición y el tipo de gráfico que corresponde a cada zona del </w:t>
      </w:r>
      <w:proofErr w:type="spellStart"/>
      <w:r w:rsidRPr="00001407">
        <w:rPr>
          <w:lang w:val="es-CL"/>
        </w:rPr>
        <w:t>dashboard</w:t>
      </w:r>
      <w:proofErr w:type="spellEnd"/>
      <w:r w:rsidRPr="00001407">
        <w:rPr>
          <w:lang w:val="es-CL"/>
        </w:rPr>
        <w:t xml:space="preserve">. No es el </w:t>
      </w:r>
      <w:proofErr w:type="spellStart"/>
      <w:r w:rsidRPr="00001407">
        <w:rPr>
          <w:lang w:val="es-CL"/>
        </w:rPr>
        <w:t>dashboard</w:t>
      </w:r>
      <w:proofErr w:type="spellEnd"/>
      <w:r w:rsidRPr="00001407">
        <w:rPr>
          <w:lang w:val="es-CL"/>
        </w:rPr>
        <w:t xml:space="preserve"> final — es la referencia de diseño para su construcción en Power BI.</w:t>
      </w:r>
    </w:p>
    <w:p w14:paraId="6CEFAED0" w14:textId="77777777" w:rsidR="00805AA9" w:rsidRDefault="00000000">
      <w:pPr>
        <w:jc w:val="center"/>
      </w:pPr>
      <w:r>
        <w:rPr>
          <w:noProof/>
        </w:rPr>
        <w:drawing>
          <wp:inline distT="0" distB="0" distL="0" distR="0" wp14:anchorId="5499C0D5" wp14:editId="10EB0B6D">
            <wp:extent cx="5471160" cy="29260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queta_dashboard.png"/>
                    <pic:cNvPicPr/>
                  </pic:nvPicPr>
                  <pic:blipFill rotWithShape="1">
                    <a:blip r:embed="rId8"/>
                    <a:srcRect b="39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3302" cy="29272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1256D3" w14:textId="272717A0" w:rsidR="00805AA9" w:rsidRPr="00001407" w:rsidRDefault="00805AA9">
      <w:pPr>
        <w:jc w:val="center"/>
        <w:rPr>
          <w:lang w:val="es-CL"/>
        </w:rPr>
      </w:pPr>
    </w:p>
    <w:sectPr w:rsidR="00805AA9" w:rsidRPr="00001407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7ABB9E" w14:textId="77777777" w:rsidR="009818C0" w:rsidRDefault="009818C0" w:rsidP="00DC58CD">
      <w:pPr>
        <w:spacing w:after="0" w:line="240" w:lineRule="auto"/>
      </w:pPr>
      <w:r>
        <w:separator/>
      </w:r>
    </w:p>
  </w:endnote>
  <w:endnote w:type="continuationSeparator" w:id="0">
    <w:p w14:paraId="0E0A25BD" w14:textId="77777777" w:rsidR="009818C0" w:rsidRDefault="009818C0" w:rsidP="00DC58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271B9A" w14:textId="77777777" w:rsidR="009818C0" w:rsidRDefault="009818C0" w:rsidP="00DC58CD">
      <w:pPr>
        <w:spacing w:after="0" w:line="240" w:lineRule="auto"/>
      </w:pPr>
      <w:r>
        <w:separator/>
      </w:r>
    </w:p>
  </w:footnote>
  <w:footnote w:type="continuationSeparator" w:id="0">
    <w:p w14:paraId="1B9921BD" w14:textId="77777777" w:rsidR="009818C0" w:rsidRDefault="009818C0" w:rsidP="00DC58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625B5" w14:textId="4ACD8D76" w:rsidR="00DC58CD" w:rsidRDefault="00DC58CD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388B774" wp14:editId="1605505E">
          <wp:simplePos x="0" y="0"/>
          <wp:positionH relativeFrom="column">
            <wp:posOffset>-769620</wp:posOffset>
          </wp:positionH>
          <wp:positionV relativeFrom="paragraph">
            <wp:posOffset>-266700</wp:posOffset>
          </wp:positionV>
          <wp:extent cx="1425575" cy="350520"/>
          <wp:effectExtent l="0" t="0" r="3175" b="0"/>
          <wp:wrapTight wrapText="bothSides">
            <wp:wrapPolygon edited="0">
              <wp:start x="18762" y="0"/>
              <wp:lineTo x="0" y="3522"/>
              <wp:lineTo x="0" y="19957"/>
              <wp:lineTo x="18473" y="19957"/>
              <wp:lineTo x="20205" y="19957"/>
              <wp:lineTo x="21071" y="18783"/>
              <wp:lineTo x="21359" y="14087"/>
              <wp:lineTo x="21359" y="5870"/>
              <wp:lineTo x="19916" y="0"/>
              <wp:lineTo x="18762" y="0"/>
            </wp:wrapPolygon>
          </wp:wrapTight>
          <wp:docPr id="62772953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5575" cy="3505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E5A0C4F" w14:textId="77777777" w:rsidR="00DC58CD" w:rsidRDefault="00DC58C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3132792">
    <w:abstractNumId w:val="8"/>
  </w:num>
  <w:num w:numId="2" w16cid:durableId="1487016279">
    <w:abstractNumId w:val="6"/>
  </w:num>
  <w:num w:numId="3" w16cid:durableId="799886705">
    <w:abstractNumId w:val="5"/>
  </w:num>
  <w:num w:numId="4" w16cid:durableId="2080322790">
    <w:abstractNumId w:val="4"/>
  </w:num>
  <w:num w:numId="5" w16cid:durableId="1687243140">
    <w:abstractNumId w:val="7"/>
  </w:num>
  <w:num w:numId="6" w16cid:durableId="91365955">
    <w:abstractNumId w:val="3"/>
  </w:num>
  <w:num w:numId="7" w16cid:durableId="394163602">
    <w:abstractNumId w:val="2"/>
  </w:num>
  <w:num w:numId="8" w16cid:durableId="457455120">
    <w:abstractNumId w:val="1"/>
  </w:num>
  <w:num w:numId="9" w16cid:durableId="760301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407"/>
    <w:rsid w:val="000235CB"/>
    <w:rsid w:val="00034616"/>
    <w:rsid w:val="0006063C"/>
    <w:rsid w:val="0015074B"/>
    <w:rsid w:val="0029639D"/>
    <w:rsid w:val="00326F90"/>
    <w:rsid w:val="00443327"/>
    <w:rsid w:val="00805AA9"/>
    <w:rsid w:val="009818C0"/>
    <w:rsid w:val="00AA1D8D"/>
    <w:rsid w:val="00B47730"/>
    <w:rsid w:val="00CB0664"/>
    <w:rsid w:val="00DC58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D503F22"/>
  <w14:defaultImageDpi w14:val="300"/>
  <w15:docId w15:val="{A2A17F61-CA7D-456B-935F-2998EFDF8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391</Words>
  <Characters>2152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carolina aguirre machuca</cp:lastModifiedBy>
  <cp:revision>3</cp:revision>
  <dcterms:created xsi:type="dcterms:W3CDTF">2013-12-23T23:15:00Z</dcterms:created>
  <dcterms:modified xsi:type="dcterms:W3CDTF">2026-09-06T20:41:00Z</dcterms:modified>
  <cp:category/>
</cp:coreProperties>
</file>