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e50914"/>
          <w:sz w:val="56"/>
          <w:szCs w:val="56"/>
          <w:rtl w:val="0"/>
        </w:rPr>
        <w:t xml:space="preserve">StreamView Analytics</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221f1f"/>
          <w:sz w:val="32"/>
          <w:szCs w:val="32"/>
          <w:rtl w:val="0"/>
        </w:rPr>
        <w:t xml:space="preserve">Resumen Ejecutivo — Visualización de Datos</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color w:val="595959"/>
          <w:sz w:val="24"/>
          <w:szCs w:val="24"/>
          <w:rtl w:val="0"/>
        </w:rPr>
        <w:t xml:space="preserve">Evaluación Parcial N°1 — ADY1104 Visualización de Datos</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color w:val="595959"/>
          <w:rtl w:val="0"/>
        </w:rPr>
        <w:t xml:space="preserve">Alumnos: Carolina Aguirre – Javier Albornoz</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rtl w:val="0"/>
        </w:rPr>
        <w:t xml:space="preserve">Análisis del catálogo de contenidos (películas y series) para apoyar decisiones de adquisición, producción y promoción de StreamView Analytics, orientado al Gerente de Contenidos.</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rPr>
          <w:color w:val="ee0000"/>
        </w:rPr>
      </w:pPr>
      <w:r w:rsidDel="00000000" w:rsidR="00000000" w:rsidRPr="00000000">
        <w:rPr>
          <w:color w:val="ee0000"/>
          <w:rtl w:val="0"/>
        </w:rPr>
        <w:t xml:space="preserve">1. Descripción del problema de negocio</w:t>
      </w:r>
    </w:p>
    <w:p w:rsidR="00000000" w:rsidDel="00000000" w:rsidP="00000000" w:rsidRDefault="00000000" w:rsidRPr="00000000" w14:paraId="00000009">
      <w:pPr>
        <w:spacing w:after="160" w:lineRule="auto"/>
        <w:rPr/>
      </w:pPr>
      <w:r w:rsidDel="00000000" w:rsidR="00000000" w:rsidRPr="00000000">
        <w:rPr>
          <w:rtl w:val="0"/>
        </w:rPr>
        <w:t xml:space="preserve">StreamView Analytics enfrenta el desafío de optimizar sus decisiones de inversión en un mercado saturado, careciendo de una visibilidad integrada que relacione el volumen de su catálogo con el desempeño real de los títulos. Para resolver esto, implementamos un modelo de analítica visual y un dashboard interactivo en Power BI que procesa más de 31.000 títulos. Esta herramienta permite a la Gerencia de Contenidos identificar patrones de éxito y eficiencia presupuestaria en segundos, cruzando variables de calificación, popularidad, retorno financiero y distribución geográfica. </w:t>
      </w:r>
    </w:p>
    <w:p w:rsidR="00000000" w:rsidDel="00000000" w:rsidP="00000000" w:rsidRDefault="00000000" w:rsidRPr="00000000" w14:paraId="0000000A">
      <w:pPr>
        <w:pStyle w:val="Heading1"/>
        <w:spacing w:after="200" w:before="400" w:lineRule="auto"/>
        <w:rPr>
          <w:color w:val="ee0000"/>
        </w:rPr>
      </w:pPr>
      <w:r w:rsidDel="00000000" w:rsidR="00000000" w:rsidRPr="00000000">
        <w:rPr>
          <w:color w:val="ee0000"/>
          <w:rtl w:val="0"/>
        </w:rPr>
        <w:t xml:space="preserve">2. Principales Hallazgos </w:t>
      </w:r>
    </w:p>
    <w:p w:rsidR="00000000" w:rsidDel="00000000" w:rsidP="00000000" w:rsidRDefault="00000000" w:rsidRPr="00000000" w14:paraId="0000000B">
      <w:pPr>
        <w:numPr>
          <w:ilvl w:val="0"/>
          <w:numId w:val="1"/>
        </w:numPr>
        <w:spacing w:after="100" w:lineRule="auto"/>
        <w:ind w:left="720" w:hanging="360"/>
      </w:pPr>
      <w:r w:rsidDel="00000000" w:rsidR="00000000" w:rsidRPr="00000000">
        <w:rPr>
          <w:b w:val="1"/>
          <w:bCs w:val="1"/>
          <w:rtl w:val="0"/>
        </w:rPr>
        <w:t xml:space="preserve">Volumen no equivale a calidad:</w:t>
      </w:r>
      <w:r w:rsidDel="00000000" w:rsidR="00000000" w:rsidRPr="00000000">
        <w:rPr>
          <w:rtl w:val="0"/>
        </w:rPr>
        <w:t xml:space="preserve"> Los géneros con mayor cantidad de producción histórica (Drama con 8.666 títulos y Comedia con 4.677) presentan un desempeño que se ubica en la mitad inferior de las calificaciones promedio de los usuarios.</w:t>
      </w:r>
    </w:p>
    <w:p w:rsidR="00000000" w:rsidDel="00000000" w:rsidP="00000000" w:rsidRDefault="00000000" w:rsidRPr="00000000" w14:paraId="0000000C">
      <w:pPr>
        <w:numPr>
          <w:ilvl w:val="0"/>
          <w:numId w:val="1"/>
        </w:numPr>
        <w:spacing w:after="100" w:lineRule="auto"/>
        <w:ind w:left="720" w:hanging="360"/>
      </w:pPr>
      <w:r w:rsidDel="00000000" w:rsidR="00000000" w:rsidRPr="00000000">
        <w:rPr>
          <w:b w:val="1"/>
          <w:bCs w:val="1"/>
          <w:rtl w:val="0"/>
        </w:rPr>
        <w:t xml:space="preserve">Oportunidades de nicho subexplotadas:</w:t>
      </w:r>
      <w:r w:rsidDel="00000000" w:rsidR="00000000" w:rsidRPr="00000000">
        <w:rPr>
          <w:rtl w:val="0"/>
        </w:rPr>
        <w:t xml:space="preserve"> Segmentos con menor volumen en el catálogo, específicamente Animación y Documentales, lideran consistentemente las métricas de Rating Promedio y Popularidad.</w:t>
      </w:r>
    </w:p>
    <w:p w:rsidR="00000000" w:rsidDel="00000000" w:rsidP="00000000" w:rsidRDefault="00000000" w:rsidRPr="00000000" w14:paraId="0000000D">
      <w:pPr>
        <w:numPr>
          <w:ilvl w:val="0"/>
          <w:numId w:val="1"/>
        </w:numPr>
        <w:spacing w:after="100" w:lineRule="auto"/>
        <w:ind w:left="720" w:hanging="360"/>
      </w:pPr>
      <w:r w:rsidDel="00000000" w:rsidR="00000000" w:rsidRPr="00000000">
        <w:rPr>
          <w:b w:val="1"/>
          <w:bCs w:val="1"/>
          <w:rtl w:val="0"/>
        </w:rPr>
        <w:t xml:space="preserve">Eficiencia financiera dispar:</w:t>
      </w:r>
      <w:r w:rsidDel="00000000" w:rsidR="00000000" w:rsidRPr="00000000">
        <w:rPr>
          <w:rtl w:val="0"/>
        </w:rPr>
        <w:t xml:space="preserve"> Al aislar los proyectos con presupuestos documentados superiores a 1 millón de USD, los géneros de Animación y Horror registran las medianas de Retorno de Inversión (ROI) más altas, superando a géneros tradicionales que concentran mayores niveles de inversión.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F">
      <w:pPr>
        <w:pStyle w:val="Heading1"/>
        <w:spacing w:after="200" w:before="400" w:lineRule="auto"/>
        <w:rPr>
          <w:color w:val="ee0000"/>
        </w:rPr>
      </w:pPr>
      <w:r w:rsidDel="00000000" w:rsidR="00000000" w:rsidRPr="00000000">
        <w:rPr>
          <w:color w:val="ee0000"/>
          <w:rtl w:val="0"/>
        </w:rPr>
        <w:t xml:space="preserve">3. Recomendaciones Estratégicas </w:t>
      </w:r>
    </w:p>
    <w:p w:rsidR="00000000" w:rsidDel="00000000" w:rsidP="00000000" w:rsidRDefault="00000000" w:rsidRPr="00000000" w14:paraId="00000010">
      <w:pPr>
        <w:spacing w:after="160" w:lineRule="auto"/>
        <w:rPr/>
      </w:pPr>
      <w:r w:rsidDel="00000000" w:rsidR="00000000" w:rsidRPr="00000000">
        <w:rPr>
          <w:b w:val="1"/>
          <w:bCs w:val="1"/>
          <w:rtl w:val="0"/>
        </w:rPr>
        <w:t xml:space="preserve">Optimización de Producción:</w:t>
      </w:r>
      <w:r w:rsidDel="00000000" w:rsidR="00000000" w:rsidRPr="00000000">
        <w:rPr>
          <w:rtl w:val="0"/>
        </w:rPr>
        <w:t xml:space="preserve"> Reasignar el presupuesto destinado a géneros masivos de bajo retorno relativo (Drama, Crime, Thriller) hacia el desarrollo de títulos de Animación y Horror para maximizar la eficiencia del capital invertido.</w:t>
      </w:r>
    </w:p>
    <w:p w:rsidR="00000000" w:rsidDel="00000000" w:rsidP="00000000" w:rsidRDefault="00000000" w:rsidRPr="00000000" w14:paraId="00000011">
      <w:pPr>
        <w:spacing w:after="160" w:lineRule="auto"/>
        <w:rPr/>
      </w:pPr>
      <w:r w:rsidDel="00000000" w:rsidR="00000000" w:rsidRPr="00000000">
        <w:rPr>
          <w:b w:val="1"/>
          <w:bCs w:val="1"/>
          <w:rtl w:val="0"/>
        </w:rPr>
        <w:t xml:space="preserve">Estrategia de Adquisición:</w:t>
      </w:r>
      <w:r w:rsidDel="00000000" w:rsidR="00000000" w:rsidRPr="00000000">
        <w:rPr>
          <w:rtl w:val="0"/>
        </w:rPr>
        <w:t xml:space="preserve"> Priorizar la compra de derechos de contenido Documental y de Animación para equilibrar la oferta del catálogo y satisfacer la demanda comprobada de calidad en estos segmentos.</w:t>
      </w:r>
    </w:p>
    <w:p w:rsidR="00000000" w:rsidDel="00000000" w:rsidP="00000000" w:rsidRDefault="00000000" w:rsidRPr="00000000" w14:paraId="00000012">
      <w:pPr>
        <w:spacing w:after="160" w:lineRule="auto"/>
        <w:rPr/>
      </w:pPr>
      <w:r w:rsidDel="00000000" w:rsidR="00000000" w:rsidRPr="00000000">
        <w:rPr>
          <w:b w:val="1"/>
          <w:bCs w:val="1"/>
          <w:rtl w:val="0"/>
        </w:rPr>
        <w:t xml:space="preserve">Foco Geográfico:</w:t>
      </w:r>
      <w:r w:rsidDel="00000000" w:rsidR="00000000" w:rsidRPr="00000000">
        <w:rPr>
          <w:rtl w:val="0"/>
        </w:rPr>
        <w:t xml:space="preserve"> Concentrar las futuras operaciones, alianzas de producción y estrategias de expansión en los cinco mercados pilares que sostienen el ecosistema de la plataforma: Estados Unidos, Japón, China, Corea del Sur y Reino Unido.</w:t>
      </w:r>
    </w:p>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-647698</wp:posOffset>
          </wp:positionH>
          <wp:positionV relativeFrom="paragraph">
            <wp:posOffset>-243838</wp:posOffset>
          </wp:positionV>
          <wp:extent cx="1518285" cy="373380"/>
          <wp:effectExtent b="0" l="0" r="0" t="0"/>
          <wp:wrapSquare wrapText="bothSides" distB="0" distT="0" distL="114300" distR="114300"/>
          <wp:docPr id="196226472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18285" cy="373380"/>
                  </a:xfrm>
                  <a:prstGeom prst="rect"/>
                  <a:ln/>
                </pic:spPr>
              </pic:pic>
            </a:graphicData>
          </a:graphic>
        </wp:anchor>
      </w:drawing>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003996"/>
    <w:pPr>
      <w:tabs>
        <w:tab w:val="center" w:pos="4419"/>
        <w:tab w:val="right" w:pos="8838"/>
      </w:tabs>
    </w:pPr>
  </w:style>
  <w:style w:type="character" w:styleId="EncabezadoCar" w:customStyle="1">
    <w:name w:val="Encabezado Car"/>
    <w:basedOn w:val="Fuentedeprrafopredeter"/>
    <w:link w:val="Encabezado"/>
    <w:uiPriority w:val="99"/>
    <w:rsid w:val="00003996"/>
  </w:style>
  <w:style w:type="paragraph" w:styleId="Piedepgina">
    <w:name w:val="footer"/>
    <w:basedOn w:val="Normal"/>
    <w:link w:val="PiedepginaCar"/>
    <w:uiPriority w:val="99"/>
    <w:unhideWhenUsed w:val="1"/>
    <w:rsid w:val="00003996"/>
    <w:pPr>
      <w:tabs>
        <w:tab w:val="center" w:pos="4419"/>
        <w:tab w:val="right" w:pos="8838"/>
      </w:tabs>
    </w:pPr>
  </w:style>
  <w:style w:type="character" w:styleId="PiedepginaCar" w:customStyle="1">
    <w:name w:val="Pie de página Car"/>
    <w:basedOn w:val="Fuentedeprrafopredeter"/>
    <w:link w:val="Piedepgina"/>
    <w:uiPriority w:val="99"/>
    <w:rsid w:val="00003996"/>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xmX0R8omX1IHr1cwcP8GQt1CQ==">CgMxLjA4AHIhMVpXZWhVWFByd3VVOGRnckY4SVNpdGhtTTVKMXRkZlAy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2026-09-05T21:06:00Z</dcterms:created>
  <dc:creator>Un-named</dc:creator>
</cp:coreProperties>
</file>