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9649C" w14:textId="77777777" w:rsidR="002E18CA" w:rsidRDefault="00000000">
      <w:pPr>
        <w:tabs>
          <w:tab w:val="center" w:pos="1553"/>
        </w:tabs>
        <w:spacing w:after="0" w:line="259" w:lineRule="auto"/>
        <w:ind w:left="-1019" w:firstLine="0"/>
      </w:pPr>
      <w:r>
        <w:rPr>
          <w:noProof/>
        </w:rPr>
        <w:drawing>
          <wp:inline distT="0" distB="0" distL="0" distR="0" wp14:anchorId="477812EC" wp14:editId="647AB49C">
            <wp:extent cx="1518285" cy="373380"/>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5"/>
                    <a:stretch>
                      <a:fillRect/>
                    </a:stretch>
                  </pic:blipFill>
                  <pic:spPr>
                    <a:xfrm>
                      <a:off x="0" y="0"/>
                      <a:ext cx="1518285" cy="373380"/>
                    </a:xfrm>
                    <a:prstGeom prst="rect">
                      <a:avLst/>
                    </a:prstGeom>
                  </pic:spPr>
                </pic:pic>
              </a:graphicData>
            </a:graphic>
          </wp:inline>
        </w:drawing>
      </w:r>
      <w:r>
        <w:tab/>
        <w:t xml:space="preserve"> </w:t>
      </w:r>
    </w:p>
    <w:p w14:paraId="64759554" w14:textId="77777777" w:rsidR="002E18CA" w:rsidRDefault="00000000">
      <w:pPr>
        <w:spacing w:after="1373" w:line="259" w:lineRule="auto"/>
        <w:ind w:left="0" w:firstLine="0"/>
      </w:pPr>
      <w:r>
        <w:t xml:space="preserve"> </w:t>
      </w:r>
    </w:p>
    <w:p w14:paraId="0DEE9D7F" w14:textId="77777777" w:rsidR="002E18CA" w:rsidRDefault="00000000">
      <w:pPr>
        <w:spacing w:after="304" w:line="259" w:lineRule="auto"/>
        <w:ind w:left="0" w:firstLine="0"/>
      </w:pPr>
      <w:r>
        <w:t xml:space="preserve"> </w:t>
      </w:r>
    </w:p>
    <w:p w14:paraId="161CCCC8" w14:textId="77777777" w:rsidR="002E18CA" w:rsidRDefault="00000000">
      <w:pPr>
        <w:spacing w:after="0" w:line="259" w:lineRule="auto"/>
        <w:ind w:left="21" w:firstLine="0"/>
        <w:jc w:val="center"/>
      </w:pPr>
      <w:proofErr w:type="spellStart"/>
      <w:r>
        <w:rPr>
          <w:b/>
          <w:color w:val="E50914"/>
          <w:sz w:val="56"/>
        </w:rPr>
        <w:t>StreamView</w:t>
      </w:r>
      <w:proofErr w:type="spellEnd"/>
      <w:r>
        <w:rPr>
          <w:b/>
          <w:color w:val="E50914"/>
          <w:sz w:val="56"/>
        </w:rPr>
        <w:t xml:space="preserve"> </w:t>
      </w:r>
      <w:proofErr w:type="spellStart"/>
      <w:r>
        <w:rPr>
          <w:b/>
          <w:color w:val="E50914"/>
          <w:sz w:val="56"/>
        </w:rPr>
        <w:t>Analytics</w:t>
      </w:r>
      <w:proofErr w:type="spellEnd"/>
      <w:r>
        <w:t xml:space="preserve"> </w:t>
      </w:r>
    </w:p>
    <w:p w14:paraId="69E8DE9C" w14:textId="77777777" w:rsidR="002E18CA" w:rsidRDefault="00000000">
      <w:pPr>
        <w:spacing w:after="0" w:line="259" w:lineRule="auto"/>
        <w:ind w:left="1548" w:firstLine="0"/>
      </w:pPr>
      <w:r>
        <w:rPr>
          <w:b/>
          <w:color w:val="221F1F"/>
          <w:sz w:val="32"/>
        </w:rPr>
        <w:t>Resumen Ejecutivo — Visualización de Datos</w:t>
      </w:r>
      <w:r>
        <w:t xml:space="preserve"> </w:t>
      </w:r>
    </w:p>
    <w:p w14:paraId="25B0EB3A" w14:textId="77777777" w:rsidR="002E18CA" w:rsidRDefault="00000000">
      <w:pPr>
        <w:spacing w:after="20" w:line="259" w:lineRule="auto"/>
        <w:ind w:left="1711" w:firstLine="0"/>
      </w:pPr>
      <w:r>
        <w:rPr>
          <w:color w:val="595959"/>
          <w:sz w:val="24"/>
        </w:rPr>
        <w:t>Evaluación Parcial N°3 — ADY1104 Visualización de Datos</w:t>
      </w:r>
      <w:r>
        <w:t xml:space="preserve"> </w:t>
      </w:r>
    </w:p>
    <w:p w14:paraId="0F3CE0C5" w14:textId="77777777" w:rsidR="002E18CA" w:rsidRDefault="00000000">
      <w:pPr>
        <w:spacing w:after="778" w:line="259" w:lineRule="auto"/>
        <w:ind w:left="28" w:firstLine="0"/>
        <w:jc w:val="center"/>
      </w:pPr>
      <w:r>
        <w:rPr>
          <w:color w:val="595959"/>
        </w:rPr>
        <w:t>Alumnos: Carolina Aguirre – Javier Albornoz</w:t>
      </w:r>
      <w:r>
        <w:t xml:space="preserve"> </w:t>
      </w:r>
    </w:p>
    <w:p w14:paraId="2D87B118" w14:textId="77777777" w:rsidR="002E18CA" w:rsidRDefault="00000000">
      <w:pPr>
        <w:spacing w:after="0"/>
        <w:ind w:left="0" w:firstLine="0"/>
        <w:jc w:val="center"/>
      </w:pPr>
      <w:r>
        <w:rPr>
          <w:i/>
        </w:rPr>
        <w:t xml:space="preserve">Análisis del catálogo de contenidos (películas y series) para apoyar decisiones de adquisición, producción y promoción de </w:t>
      </w:r>
      <w:proofErr w:type="spellStart"/>
      <w:r>
        <w:rPr>
          <w:i/>
        </w:rPr>
        <w:t>StreamView</w:t>
      </w:r>
      <w:proofErr w:type="spellEnd"/>
      <w:r>
        <w:rPr>
          <w:i/>
        </w:rPr>
        <w:t xml:space="preserve"> </w:t>
      </w:r>
      <w:proofErr w:type="spellStart"/>
      <w:r>
        <w:rPr>
          <w:i/>
        </w:rPr>
        <w:t>Analytics</w:t>
      </w:r>
      <w:proofErr w:type="spellEnd"/>
      <w:r>
        <w:rPr>
          <w:i/>
        </w:rPr>
        <w:t>, orientado al Gerente de Contenidos.</w:t>
      </w:r>
      <w:r>
        <w:t xml:space="preserve"> </w:t>
      </w:r>
    </w:p>
    <w:p w14:paraId="49A1C327" w14:textId="77777777" w:rsidR="002E18CA" w:rsidRDefault="00000000">
      <w:pPr>
        <w:spacing w:after="0" w:line="259" w:lineRule="auto"/>
        <w:ind w:left="0" w:firstLine="0"/>
      </w:pPr>
      <w:r>
        <w:t xml:space="preserve"> </w:t>
      </w:r>
      <w:r>
        <w:br w:type="page"/>
      </w:r>
    </w:p>
    <w:p w14:paraId="5DC89C69" w14:textId="77777777" w:rsidR="002E18CA" w:rsidRDefault="00000000">
      <w:pPr>
        <w:tabs>
          <w:tab w:val="center" w:pos="1553"/>
        </w:tabs>
        <w:spacing w:after="0" w:line="259" w:lineRule="auto"/>
        <w:ind w:left="-1019" w:firstLine="0"/>
      </w:pPr>
      <w:r>
        <w:rPr>
          <w:noProof/>
        </w:rPr>
        <w:lastRenderedPageBreak/>
        <w:drawing>
          <wp:inline distT="0" distB="0" distL="0" distR="0" wp14:anchorId="526FAC72" wp14:editId="21378136">
            <wp:extent cx="1518285" cy="373380"/>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5"/>
                    <a:stretch>
                      <a:fillRect/>
                    </a:stretch>
                  </pic:blipFill>
                  <pic:spPr>
                    <a:xfrm>
                      <a:off x="0" y="0"/>
                      <a:ext cx="1518285" cy="373380"/>
                    </a:xfrm>
                    <a:prstGeom prst="rect">
                      <a:avLst/>
                    </a:prstGeom>
                  </pic:spPr>
                </pic:pic>
              </a:graphicData>
            </a:graphic>
          </wp:inline>
        </w:drawing>
      </w:r>
      <w:r>
        <w:tab/>
        <w:t xml:space="preserve"> </w:t>
      </w:r>
    </w:p>
    <w:p w14:paraId="742561E6" w14:textId="77777777" w:rsidR="002E18CA" w:rsidRDefault="00000000">
      <w:pPr>
        <w:spacing w:after="269" w:line="259" w:lineRule="auto"/>
        <w:ind w:left="0" w:firstLine="0"/>
      </w:pPr>
      <w:r>
        <w:t xml:space="preserve"> </w:t>
      </w:r>
    </w:p>
    <w:p w14:paraId="5929BB20" w14:textId="77777777" w:rsidR="002E18CA" w:rsidRDefault="00000000">
      <w:pPr>
        <w:pStyle w:val="Ttulo1"/>
        <w:ind w:left="299" w:hanging="314"/>
      </w:pPr>
      <w:r>
        <w:t xml:space="preserve">Descripción del problema de negocio </w:t>
      </w:r>
    </w:p>
    <w:p w14:paraId="30FC9D28" w14:textId="77777777" w:rsidR="002E18CA" w:rsidRDefault="00000000">
      <w:pPr>
        <w:spacing w:after="495"/>
        <w:ind w:left="-5"/>
      </w:pPr>
      <w:proofErr w:type="spellStart"/>
      <w:r>
        <w:t>StreamView</w:t>
      </w:r>
      <w:proofErr w:type="spellEnd"/>
      <w:r>
        <w:t xml:space="preserve"> </w:t>
      </w:r>
      <w:proofErr w:type="spellStart"/>
      <w:r>
        <w:t>Analytics</w:t>
      </w:r>
      <w:proofErr w:type="spellEnd"/>
      <w:r>
        <w:t xml:space="preserve"> enfrenta el desafío de optimizar sus decisiones de inversión en un mercado saturado, careciendo de una visibilidad integrada que relacione el volumen de su catálogo con el desempeño real de los títulos. Para resolver esto, implementamos un modelo de analítica visual y un </w:t>
      </w:r>
      <w:proofErr w:type="spellStart"/>
      <w:r>
        <w:t>dashboard</w:t>
      </w:r>
      <w:proofErr w:type="spellEnd"/>
      <w:r>
        <w:t xml:space="preserve"> interactivo en Power BI que procesa más de 31.000 títulos. Esta herramienta permite a la Gerencia de Contenidos identificar patrones de éxito y eficiencia presupuestaria en segundos, cruzando variables de calificación, popularidad, retorno financiero y distribución geográfica.  </w:t>
      </w:r>
    </w:p>
    <w:p w14:paraId="6625DBE6" w14:textId="77777777" w:rsidR="002E18CA" w:rsidRDefault="00000000">
      <w:pPr>
        <w:pStyle w:val="Ttulo1"/>
        <w:ind w:left="299" w:hanging="314"/>
      </w:pPr>
      <w:r>
        <w:t xml:space="preserve">Principales Hallazgos  </w:t>
      </w:r>
    </w:p>
    <w:p w14:paraId="5571F4A0" w14:textId="77777777" w:rsidR="002E18CA" w:rsidRDefault="00000000">
      <w:pPr>
        <w:numPr>
          <w:ilvl w:val="0"/>
          <w:numId w:val="1"/>
        </w:numPr>
        <w:ind w:hanging="360"/>
      </w:pPr>
      <w:r>
        <w:rPr>
          <w:b/>
        </w:rPr>
        <w:t>Volumen no equivale a calidad:</w:t>
      </w:r>
      <w:r>
        <w:t xml:space="preserve"> Los géneros con mayor cantidad de producción histórica (Drama con 14.769 títulos y Comedia con 9.105; un título cuenta en cada uno de sus géneros) no figuran entre los mejor evaluados: su rating promedio (Drama 6,83 y Comedia 6,64) queda por debajo del de Animación (7,24). </w:t>
      </w:r>
    </w:p>
    <w:p w14:paraId="0FC27173" w14:textId="77777777" w:rsidR="002E18CA" w:rsidRDefault="00000000">
      <w:pPr>
        <w:numPr>
          <w:ilvl w:val="0"/>
          <w:numId w:val="1"/>
        </w:numPr>
        <w:ind w:hanging="360"/>
      </w:pPr>
      <w:r>
        <w:rPr>
          <w:b/>
        </w:rPr>
        <w:t>Oportunidades de nicho subexplotadas:</w:t>
      </w:r>
      <w:r>
        <w:t xml:space="preserve"> Segmentos con menor volumen en el catálogo, específicamente Animación y Documentales, lideran el rating promedio (7,24 y 7,21), aunque su popularidad es dispar (Animación 45,6 y Documentales 28,4, frente a 42,6 del catálogo). </w:t>
      </w:r>
    </w:p>
    <w:p w14:paraId="3186FBA8" w14:textId="77777777" w:rsidR="002E18CA" w:rsidRDefault="00000000">
      <w:pPr>
        <w:numPr>
          <w:ilvl w:val="0"/>
          <w:numId w:val="1"/>
        </w:numPr>
        <w:ind w:hanging="360"/>
      </w:pPr>
      <w:r>
        <w:rPr>
          <w:b/>
        </w:rPr>
        <w:t>Eficiencia financiera dispar:</w:t>
      </w:r>
      <w:r>
        <w:t xml:space="preserve"> Al aislar las 3.386 películas con presupuesto documentado superior a 1 millón de USD, los géneros de Animación (2,29x), Familia (2,17x) y Horror (2,13x) registran las medianas de Retorno de Inversión (ROI = ingresos / presupuesto) más altas, frente a una mediana global de 1,68x, superando a géneros tradicionales que concentran mayores niveles de inversión. </w:t>
      </w:r>
    </w:p>
    <w:p w14:paraId="22711C52" w14:textId="77777777" w:rsidR="002E18CA" w:rsidRDefault="00000000">
      <w:pPr>
        <w:spacing w:after="473" w:line="259" w:lineRule="auto"/>
        <w:ind w:left="0" w:firstLine="0"/>
      </w:pPr>
      <w:r>
        <w:rPr>
          <w:b/>
        </w:rPr>
        <w:t xml:space="preserve"> </w:t>
      </w:r>
    </w:p>
    <w:p w14:paraId="685849C8" w14:textId="77777777" w:rsidR="002E18CA" w:rsidRDefault="00000000">
      <w:pPr>
        <w:pStyle w:val="Ttulo1"/>
        <w:ind w:left="299" w:hanging="314"/>
      </w:pPr>
      <w:r>
        <w:t xml:space="preserve">Recomendaciones Estratégicas  </w:t>
      </w:r>
    </w:p>
    <w:p w14:paraId="1E136F40" w14:textId="77777777" w:rsidR="002E18CA" w:rsidRDefault="00000000">
      <w:pPr>
        <w:spacing w:after="161"/>
        <w:ind w:left="-5"/>
      </w:pPr>
      <w:r>
        <w:rPr>
          <w:b/>
        </w:rPr>
        <w:t>Optimización de Producción:</w:t>
      </w:r>
      <w:r>
        <w:t xml:space="preserve"> Reasignar el presupuesto destinado a géneros masivos de bajo retorno relativo (Drama, </w:t>
      </w:r>
      <w:proofErr w:type="spellStart"/>
      <w:r>
        <w:t>Crime</w:t>
      </w:r>
      <w:proofErr w:type="spellEnd"/>
      <w:r>
        <w:t xml:space="preserve">, Thriller) hacia el desarrollo de títulos de Animación, Familia y Horror para maximizar la eficiencia del capital invertido; Horror tiene el rating más bajo del catálogo, por lo que conviene evaluarlo con cautela. </w:t>
      </w:r>
    </w:p>
    <w:p w14:paraId="6A9FABCF" w14:textId="77777777" w:rsidR="002E18CA" w:rsidRDefault="00000000">
      <w:pPr>
        <w:spacing w:after="159"/>
        <w:ind w:left="-5"/>
      </w:pPr>
      <w:r>
        <w:rPr>
          <w:b/>
        </w:rPr>
        <w:t>Estrategia de Adquisición:</w:t>
      </w:r>
      <w:r>
        <w:t xml:space="preserve"> Priorizar la compra de derechos de contenido Documental y de Animación para equilibrar la oferta del catálogo y aprovechar la alta valoración (rating) de estos segmentos. </w:t>
      </w:r>
    </w:p>
    <w:p w14:paraId="0A8F21EF" w14:textId="77777777" w:rsidR="002E18CA" w:rsidRDefault="00000000">
      <w:pPr>
        <w:spacing w:after="161"/>
        <w:ind w:left="-5"/>
      </w:pPr>
      <w:r>
        <w:rPr>
          <w:b/>
        </w:rPr>
        <w:t>Foco Geográfico:</w:t>
      </w:r>
      <w:r>
        <w:t xml:space="preserve"> Concentrar las futuras operaciones, alianzas de producción y estrategias de expansión en los cinco mercados pilares que sostienen el ecosistema de la plataforma: Estados Unidos, Japón, China, Corea del Sur y Reino Unido. </w:t>
      </w:r>
    </w:p>
    <w:p w14:paraId="1CF5414F" w14:textId="77777777" w:rsidR="006C18F5" w:rsidRDefault="006C18F5">
      <w:pPr>
        <w:spacing w:after="161"/>
        <w:ind w:left="-5"/>
      </w:pPr>
    </w:p>
    <w:p w14:paraId="63D01D7A" w14:textId="4046BFE0" w:rsidR="006C18F5" w:rsidRDefault="006C18F5" w:rsidP="006C18F5">
      <w:pPr>
        <w:pStyle w:val="Ttulo1"/>
      </w:pPr>
      <w:r>
        <w:lastRenderedPageBreak/>
        <w:t xml:space="preserve">Optimización del </w:t>
      </w:r>
      <w:proofErr w:type="spellStart"/>
      <w:r>
        <w:t>Dashboard</w:t>
      </w:r>
      <w:proofErr w:type="spellEnd"/>
      <w:r>
        <w:t xml:space="preserve"> Analítico.</w:t>
      </w:r>
    </w:p>
    <w:p w14:paraId="13EF93CF" w14:textId="77777777" w:rsidR="006C18F5" w:rsidRDefault="006C18F5" w:rsidP="006C18F5"/>
    <w:p w14:paraId="246EC09E" w14:textId="77777777" w:rsidR="006C18F5" w:rsidRPr="006C18F5" w:rsidRDefault="006C18F5" w:rsidP="006C18F5">
      <w:r w:rsidRPr="006C18F5">
        <w:t xml:space="preserve">Se rediseñó por completo el entorno de </w:t>
      </w:r>
      <w:proofErr w:type="gramStart"/>
      <w:r w:rsidRPr="006C18F5">
        <w:t xml:space="preserve">Business </w:t>
      </w:r>
      <w:proofErr w:type="spellStart"/>
      <w:r w:rsidRPr="006C18F5">
        <w:t>Intelligence</w:t>
      </w:r>
      <w:proofErr w:type="spellEnd"/>
      <w:proofErr w:type="gramEnd"/>
      <w:r w:rsidRPr="006C18F5">
        <w:t xml:space="preserve"> (Power BI), pasando de una vista exploratoria básica a un panel ejecutivo interactivo de 5 páginas. Este nuevo </w:t>
      </w:r>
      <w:proofErr w:type="spellStart"/>
      <w:r w:rsidRPr="006C18F5">
        <w:t>dashboard</w:t>
      </w:r>
      <w:proofErr w:type="spellEnd"/>
      <w:r w:rsidRPr="006C18F5">
        <w:t>, enfocado en resolver preguntas de negocio por gerencia, incluye:</w:t>
      </w:r>
    </w:p>
    <w:p w14:paraId="47E0218C" w14:textId="77777777" w:rsidR="006C18F5" w:rsidRPr="006C18F5" w:rsidRDefault="006C18F5" w:rsidP="006C18F5">
      <w:pPr>
        <w:numPr>
          <w:ilvl w:val="0"/>
          <w:numId w:val="3"/>
        </w:numPr>
      </w:pPr>
      <w:r w:rsidRPr="006C18F5">
        <w:t>Vista Ejecutiva General.</w:t>
      </w:r>
    </w:p>
    <w:p w14:paraId="7C73E1E1" w14:textId="77777777" w:rsidR="006C18F5" w:rsidRPr="006C18F5" w:rsidRDefault="006C18F5" w:rsidP="006C18F5">
      <w:pPr>
        <w:numPr>
          <w:ilvl w:val="0"/>
          <w:numId w:val="3"/>
        </w:numPr>
      </w:pPr>
      <w:r w:rsidRPr="006C18F5">
        <w:t>Análisis Estructural del Catálogo.</w:t>
      </w:r>
    </w:p>
    <w:p w14:paraId="04AD75C5" w14:textId="77777777" w:rsidR="006C18F5" w:rsidRPr="006C18F5" w:rsidRDefault="006C18F5" w:rsidP="006C18F5">
      <w:pPr>
        <w:numPr>
          <w:ilvl w:val="0"/>
          <w:numId w:val="3"/>
        </w:numPr>
      </w:pPr>
      <w:r w:rsidRPr="006C18F5">
        <w:t>Evaluación de Popularidad vs. Calidad.</w:t>
      </w:r>
    </w:p>
    <w:p w14:paraId="0D8BB1F4" w14:textId="77777777" w:rsidR="006C18F5" w:rsidRPr="006C18F5" w:rsidRDefault="006C18F5" w:rsidP="006C18F5">
      <w:pPr>
        <w:numPr>
          <w:ilvl w:val="0"/>
          <w:numId w:val="3"/>
        </w:numPr>
      </w:pPr>
      <w:r w:rsidRPr="006C18F5">
        <w:t>Desempeño Financiero (ROI).</w:t>
      </w:r>
    </w:p>
    <w:p w14:paraId="433697A3" w14:textId="77777777" w:rsidR="006C18F5" w:rsidRPr="006C18F5" w:rsidRDefault="006C18F5" w:rsidP="006C18F5">
      <w:pPr>
        <w:numPr>
          <w:ilvl w:val="0"/>
          <w:numId w:val="3"/>
        </w:numPr>
      </w:pPr>
      <w:r w:rsidRPr="006C18F5">
        <w:t xml:space="preserve">Data </w:t>
      </w:r>
      <w:proofErr w:type="spellStart"/>
      <w:r w:rsidRPr="006C18F5">
        <w:t>Storytelling</w:t>
      </w:r>
      <w:proofErr w:type="spellEnd"/>
      <w:r w:rsidRPr="006C18F5">
        <w:t xml:space="preserve"> y Recomendaciones. Los </w:t>
      </w:r>
      <w:proofErr w:type="spellStart"/>
      <w:r w:rsidRPr="006C18F5">
        <w:t>KPIs</w:t>
      </w:r>
      <w:proofErr w:type="spellEnd"/>
      <w:r w:rsidRPr="006C18F5">
        <w:t xml:space="preserve"> fueron corregidos, logrando exactitud en el catálogo (31.991 títulos) y ajustando el cálculo del ROI mediano global de películas a 1,68x tras aislar exclusivamente aquellos títulos con ingresos y presupuestos válidos. La navegación se realiza de forma fluida a través de botones y filtros sincronizados, aplicando la paleta corporativa para diferenciar con claridad Películas y Series.</w:t>
      </w:r>
    </w:p>
    <w:p w14:paraId="2BEB76A8" w14:textId="77777777" w:rsidR="006C18F5" w:rsidRPr="006C18F5" w:rsidRDefault="006C18F5" w:rsidP="006C18F5"/>
    <w:p w14:paraId="3015795C" w14:textId="77777777" w:rsidR="002E18CA" w:rsidRDefault="00000000">
      <w:pPr>
        <w:spacing w:after="136" w:line="259" w:lineRule="auto"/>
        <w:ind w:left="0" w:firstLine="0"/>
      </w:pPr>
      <w:r>
        <w:t xml:space="preserve"> </w:t>
      </w:r>
    </w:p>
    <w:p w14:paraId="42DD865A" w14:textId="77777777" w:rsidR="002E18CA" w:rsidRDefault="00000000">
      <w:pPr>
        <w:spacing w:after="0" w:line="259" w:lineRule="auto"/>
        <w:ind w:left="720" w:firstLine="0"/>
      </w:pPr>
      <w:r>
        <w:t xml:space="preserve"> </w:t>
      </w:r>
    </w:p>
    <w:sectPr w:rsidR="002E18CA">
      <w:pgSz w:w="11906" w:h="16838"/>
      <w:pgMar w:top="325" w:right="1465" w:bottom="329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4741E"/>
    <w:multiLevelType w:val="multilevel"/>
    <w:tmpl w:val="D446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8A5230"/>
    <w:multiLevelType w:val="hybridMultilevel"/>
    <w:tmpl w:val="652A9590"/>
    <w:lvl w:ilvl="0" w:tplc="56A6A20A">
      <w:start w:val="1"/>
      <w:numFmt w:val="decimal"/>
      <w:pStyle w:val="Ttulo1"/>
      <w:lvlText w:val="%1."/>
      <w:lvlJc w:val="left"/>
      <w:pPr>
        <w:ind w:left="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1" w:tplc="DAE4DC50">
      <w:start w:val="1"/>
      <w:numFmt w:val="lowerLetter"/>
      <w:lvlText w:val="%2"/>
      <w:lvlJc w:val="left"/>
      <w:pPr>
        <w:ind w:left="108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2" w:tplc="A656CAF0">
      <w:start w:val="1"/>
      <w:numFmt w:val="lowerRoman"/>
      <w:lvlText w:val="%3"/>
      <w:lvlJc w:val="left"/>
      <w:pPr>
        <w:ind w:left="180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3" w:tplc="11D6A99C">
      <w:start w:val="1"/>
      <w:numFmt w:val="decimal"/>
      <w:lvlText w:val="%4"/>
      <w:lvlJc w:val="left"/>
      <w:pPr>
        <w:ind w:left="252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4" w:tplc="2F1A6EAA">
      <w:start w:val="1"/>
      <w:numFmt w:val="lowerLetter"/>
      <w:lvlText w:val="%5"/>
      <w:lvlJc w:val="left"/>
      <w:pPr>
        <w:ind w:left="324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5" w:tplc="DFDEF5C0">
      <w:start w:val="1"/>
      <w:numFmt w:val="lowerRoman"/>
      <w:lvlText w:val="%6"/>
      <w:lvlJc w:val="left"/>
      <w:pPr>
        <w:ind w:left="396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6" w:tplc="71B23862">
      <w:start w:val="1"/>
      <w:numFmt w:val="decimal"/>
      <w:lvlText w:val="%7"/>
      <w:lvlJc w:val="left"/>
      <w:pPr>
        <w:ind w:left="468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7" w:tplc="76BEFC9A">
      <w:start w:val="1"/>
      <w:numFmt w:val="lowerLetter"/>
      <w:lvlText w:val="%8"/>
      <w:lvlJc w:val="left"/>
      <w:pPr>
        <w:ind w:left="540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lvl w:ilvl="8" w:tplc="48380126">
      <w:start w:val="1"/>
      <w:numFmt w:val="lowerRoman"/>
      <w:lvlText w:val="%9"/>
      <w:lvlJc w:val="left"/>
      <w:pPr>
        <w:ind w:left="6120"/>
      </w:pPr>
      <w:rPr>
        <w:rFonts w:ascii="Calibri" w:eastAsia="Calibri" w:hAnsi="Calibri" w:cs="Calibri"/>
        <w:b w:val="0"/>
        <w:i w:val="0"/>
        <w:strike w:val="0"/>
        <w:dstrike w:val="0"/>
        <w:color w:val="EE0000"/>
        <w:sz w:val="32"/>
        <w:szCs w:val="32"/>
        <w:u w:val="none" w:color="000000"/>
        <w:bdr w:val="none" w:sz="0" w:space="0" w:color="auto"/>
        <w:shd w:val="clear" w:color="auto" w:fill="auto"/>
        <w:vertAlign w:val="baseline"/>
      </w:rPr>
    </w:lvl>
  </w:abstractNum>
  <w:abstractNum w:abstractNumId="2" w15:restartNumberingAfterBreak="0">
    <w:nsid w:val="4F3731A3"/>
    <w:multiLevelType w:val="hybridMultilevel"/>
    <w:tmpl w:val="D05AAF8E"/>
    <w:lvl w:ilvl="0" w:tplc="706C458C">
      <w:start w:val="1"/>
      <w:numFmt w:val="bullet"/>
      <w:lvlText w:val="●"/>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AA3B4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88668E6">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AB662EC">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4C022E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2389964">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C42A19A">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95A8FC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BB0D886">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3257739">
    <w:abstractNumId w:val="2"/>
  </w:num>
  <w:num w:numId="2" w16cid:durableId="212814269">
    <w:abstractNumId w:val="1"/>
  </w:num>
  <w:num w:numId="3" w16cid:durableId="378555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8CA"/>
    <w:rsid w:val="002E18CA"/>
    <w:rsid w:val="006C18F5"/>
    <w:rsid w:val="00B4338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4A50"/>
  <w15:docId w15:val="{D7B12650-2CD1-4C5C-8E53-F25CBEA99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39" w:lineRule="auto"/>
      <w:ind w:left="10" w:hanging="10"/>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2"/>
      </w:numPr>
      <w:spacing w:after="74" w:line="259" w:lineRule="auto"/>
      <w:ind w:left="10" w:hanging="10"/>
      <w:outlineLvl w:val="0"/>
    </w:pPr>
    <w:rPr>
      <w:rFonts w:ascii="Calibri" w:eastAsia="Calibri" w:hAnsi="Calibri" w:cs="Calibri"/>
      <w:color w:val="EE0000"/>
      <w:sz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EE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558</Words>
  <Characters>3071</Characters>
  <Application>Microsoft Office Word</Application>
  <DocSecurity>0</DocSecurity>
  <Lines>25</Lines>
  <Paragraphs>7</Paragraphs>
  <ScaleCrop>false</ScaleCrop>
  <Company/>
  <LinksUpToDate>false</LinksUpToDate>
  <CharactersWithSpaces>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Albornoz</dc:creator>
  <cp:keywords/>
  <cp:lastModifiedBy>Javier Albornoz</cp:lastModifiedBy>
  <cp:revision>2</cp:revision>
  <cp:lastPrinted>2026-10-13T07:14:00Z</cp:lastPrinted>
  <dcterms:created xsi:type="dcterms:W3CDTF">2026-10-13T07:15:00Z</dcterms:created>
  <dcterms:modified xsi:type="dcterms:W3CDTF">2026-10-13T07:15:00Z</dcterms:modified>
</cp:coreProperties>
</file>