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center"/>
      </w:pPr>
      <w:r>
        <w:t>Trend Following Study</w:t>
      </w:r>
    </w:p>
    <w:p>
      <w:pPr>
        <w:pStyle w:val="Subtitle"/>
        <w:jc w:val="center"/>
      </w:pPr>
      <w:r>
        <w:t>Trend Following and Mean Reversion ETF Portfolios</w:t>
      </w:r>
    </w:p>
    <w:p>
      <w:pPr>
        <w:spacing w:after="140"/>
        <w:jc w:val="center"/>
      </w:pPr>
      <w:r>
        <w:rPr>
          <w:b w:val="0"/>
          <w:i/>
        </w:rPr>
        <w:t>A quantitative finance course project</w:t>
      </w:r>
    </w:p>
    <w:p>
      <w:pPr>
        <w:spacing w:after="140"/>
        <w:jc w:val="center"/>
      </w:pPr>
      <w:r>
        <w:rPr>
          <w:b w:val="0"/>
          <w:i w:val="0"/>
          <w:sz w:val="22"/>
        </w:rPr>
        <w:t>Historical endpoint October 15 2026</w:t>
      </w:r>
    </w:p>
    <w:p>
      <w:pPr>
        <w:pStyle w:val="Heading1"/>
      </w:pPr>
      <w:r>
        <w:t>Abstract</w:t>
      </w:r>
    </w:p>
    <w:p>
      <w:pPr>
        <w:spacing w:after="140"/>
      </w:pPr>
      <w:r>
        <w:rPr>
          <w:b w:val="0"/>
          <w:i w:val="0"/>
        </w:rPr>
        <w:t>We study whether a combination of long or cash ETF trend-following and oversold-recovery strategies can improve risk-adjusted performance relative to passive QQQ. The project follows a broad 56-ETF, 379-configuration research campaign and evaluates four retained initial allocations across development in 2017–2020, validation in 2021–2023 and historical OOS from January 2024 through October 15, 2026. Each period starts with $1,000; the same strategies and weights are used at four trading-cost levels.</w:t>
      </w:r>
    </w:p>
    <w:p>
      <w:pPr>
        <w:spacing w:after="140"/>
      </w:pPr>
      <w:r>
        <w:rPr>
          <w:b w:val="0"/>
          <w:i w:val="0"/>
        </w:rPr>
        <w:t>At baseline costs, the allocation fitted to a historical daily one-third sleeve cap has a 2.481 cash-excess Sharpe, 21.85% CAGR and −4.24% maximum daily drawdown in the fitted historical OOS window. Matched QQQ buy-and-hold has 0.996 Sharpe, 23.93% CAGR and −22.77% drawdown. The portfolio therefore sacrifices some growth while exhibiting a smoother examined path. Validation is materially weaker: its Sharpe is 0.381, and the UNG sleeve breaches one-third on 41 daily valuations.</w:t>
      </w:r>
    </w:p>
    <w:p>
      <w:pPr>
        <w:spacing w:after="140"/>
      </w:pPr>
      <w:r>
        <w:rPr>
          <w:b w:val="0"/>
          <w:i w:val="0"/>
        </w:rPr>
        <w:t>These are descriptive results, not evidence of an untouched portfolio test. The final strategies, ETF pruning and optimized weights were chosen after historical OOS was examined. Replaying them in earlier periods does not remove that hindsight. The main contribution is a reproducible comparison of causal trading rules, costs, cash, portfolio construction and benchmark-relative risk, including the unfavorable findings.</w:t>
      </w:r>
    </w:p>
    <w:p>
      <w:pPr>
        <w:pStyle w:val="Heading1"/>
      </w:pPr>
      <w:r>
        <w:t>1 Project Goal</w:t>
      </w:r>
    </w:p>
    <w:p>
      <w:pPr>
        <w:spacing w:after="140"/>
      </w:pPr>
      <w:r>
        <w:rPr>
          <w:b w:val="0"/>
          <w:i w:val="0"/>
        </w:rPr>
        <w:t>Our goal is to research momentum and mean-reversion strategies in actual ETFs and assess whether combining them offers a useful return–risk trade-off. We use unlevered long or cash accounts, not short selling, market-neutral pairs, synthetic leverage or live trading. The central question is robustness across periods and execution costs, not which historical Sharpe is largest.</w:t>
      </w:r>
    </w:p>
    <w:p>
      <w:pPr>
        <w:pStyle w:val="Heading1"/>
        <w:pageBreakBefore/>
      </w:pPr>
      <w:r>
        <w:t>2 Research Outline</w:t>
      </w:r>
    </w:p>
    <w:p>
      <w:pPr>
        <w:spacing w:after="140"/>
      </w:pPr>
      <w:r>
        <w:rPr>
          <w:b w:val="0"/>
          <w:i w:val="0"/>
        </w:rPr>
        <w:t>We focus on indicator horizons, persistent oversold recovery and diversification. Trend following assumes that a price move can persist long enough for delayed confirmation to be useful. Mean reversion assumes that an unusually weak price relative to recent daily history can subsequently recover. Neither assumption identifies the cause of a move or guarantees that a falling asset will rebound.</w:t>
      </w:r>
    </w:p>
    <w:p>
      <w:pPr>
        <w:pStyle w:val="Heading2"/>
      </w:pPr>
      <w:r>
        <w:t>Research hypotheses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1728"/>
        <w:gridCol w:w="3528"/>
        <w:gridCol w:w="4104"/>
      </w:tblGrid>
      <w:tr>
        <w:trPr>
          <w:cantSplit/>
          <w:tblHeader/>
        </w:trPr>
        <w:tc>
          <w:tcPr>
            <w:tcW w:type="dxa" w:w="1728"/>
            <w:vAlign w:val="center"/>
            <w:shd w:fill="F2F2F2"/>
          </w:tcPr>
          <w:p>
            <w:pPr>
              <w:spacing w:after="0" w:before="0" w:line="240" w:lineRule="auto"/>
            </w:pPr>
            <w:r>
              <w:rPr>
                <w:b/>
                <w:color w:val="000000"/>
                <w:sz w:val="21"/>
              </w:rPr>
              <w:t>Hypothesis</w:t>
            </w:r>
          </w:p>
        </w:tc>
        <w:tc>
          <w:tcPr>
            <w:tcW w:type="dxa" w:w="3528"/>
            <w:vAlign w:val="center"/>
            <w:shd w:fill="F2F2F2"/>
          </w:tcPr>
          <w:p>
            <w:pPr>
              <w:spacing w:after="0" w:before="0" w:line="240" w:lineRule="auto"/>
            </w:pPr>
            <w:r>
              <w:rPr>
                <w:b/>
                <w:color w:val="000000"/>
                <w:sz w:val="21"/>
              </w:rPr>
              <w:t>Empirical comparison</w:t>
            </w:r>
          </w:p>
        </w:tc>
        <w:tc>
          <w:tcPr>
            <w:tcW w:type="dxa" w:w="4104"/>
            <w:vAlign w:val="center"/>
            <w:shd w:fill="F2F2F2"/>
          </w:tcPr>
          <w:p>
            <w:pPr>
              <w:spacing w:after="0" w:before="0" w:line="240" w:lineRule="auto"/>
            </w:pPr>
            <w:r>
              <w:rPr>
                <w:b/>
                <w:color w:val="000000"/>
                <w:sz w:val="21"/>
              </w:rPr>
              <w:t>Interpretation</w:t>
            </w:r>
          </w:p>
        </w:tc>
      </w:tr>
      <w:tr>
        <w:trPr>
          <w:cantSplit/>
        </w:trPr>
        <w:tc>
          <w:tcPr>
            <w:tcW w:type="dxa" w:w="1728"/>
            <w:vAlign w:val="center"/>
          </w:tcPr>
          <w:p>
            <w:pPr>
              <w:spacing w:after="0" w:before="0" w:line="240" w:lineRule="auto"/>
            </w:pPr>
            <w:r>
              <w:rPr>
                <w:b w:val="0"/>
                <w:color w:val="000000"/>
                <w:sz w:val="21"/>
              </w:rPr>
              <w:t>Trend persistence</w:t>
            </w:r>
          </w:p>
        </w:tc>
        <w:tc>
          <w:tcPr>
            <w:tcW w:type="dxa" w:w="3528"/>
            <w:vAlign w:val="center"/>
          </w:tcPr>
          <w:p>
            <w:pPr>
              <w:spacing w:after="0" w:before="0" w:line="240" w:lineRule="auto"/>
            </w:pPr>
            <w:r>
              <w:rPr>
                <w:b w:val="0"/>
                <w:color w:val="000000"/>
                <w:sz w:val="21"/>
              </w:rPr>
              <w:t>Two selected daily EMA gate strategies</w:t>
            </w:r>
          </w:p>
        </w:tc>
        <w:tc>
          <w:tcPr>
            <w:tcW w:type="dxa" w:w="4104"/>
            <w:vAlign w:val="center"/>
          </w:tcPr>
          <w:p>
            <w:pPr>
              <w:spacing w:after="0" w:before="0" w:line="240" w:lineRule="auto"/>
            </w:pPr>
            <w:r>
              <w:rPr>
                <w:b w:val="0"/>
                <w:color w:val="000000"/>
                <w:sz w:val="21"/>
              </w:rPr>
              <w:t>Long participation above trend; cash after a confirmed exit</w:t>
            </w:r>
          </w:p>
        </w:tc>
      </w:tr>
      <w:tr>
        <w:trPr>
          <w:cantSplit/>
        </w:trPr>
        <w:tc>
          <w:tcPr>
            <w:tcW w:type="dxa" w:w="1728"/>
            <w:vAlign w:val="center"/>
          </w:tcPr>
          <w:p>
            <w:pPr>
              <w:spacing w:after="0" w:before="0" w:line="240" w:lineRule="auto"/>
            </w:pPr>
            <w:r>
              <w:rPr>
                <w:b w:val="0"/>
                <w:color w:val="000000"/>
                <w:sz w:val="21"/>
              </w:rPr>
              <w:t>Oversold recovery</w:t>
            </w:r>
          </w:p>
        </w:tc>
        <w:tc>
          <w:tcPr>
            <w:tcW w:type="dxa" w:w="3528"/>
            <w:vAlign w:val="center"/>
          </w:tcPr>
          <w:p>
            <w:pPr>
              <w:spacing w:after="0" w:before="0" w:line="240" w:lineRule="auto"/>
            </w:pPr>
            <w:r>
              <w:rPr>
                <w:b w:val="0"/>
                <w:color w:val="000000"/>
                <w:sz w:val="21"/>
              </w:rPr>
              <w:t>Four selected z score, RSI or EMA distance strategies</w:t>
            </w:r>
          </w:p>
        </w:tc>
        <w:tc>
          <w:tcPr>
            <w:tcW w:type="dxa" w:w="4104"/>
            <w:vAlign w:val="center"/>
          </w:tcPr>
          <w:p>
            <w:pPr>
              <w:spacing w:after="0" w:before="0" w:line="240" w:lineRule="auto"/>
            </w:pPr>
            <w:r>
              <w:rPr>
                <w:b w:val="0"/>
                <w:color w:val="000000"/>
                <w:sz w:val="21"/>
              </w:rPr>
              <w:t>Buy a persistent dip and sell recovery; never short</w:t>
            </w:r>
          </w:p>
        </w:tc>
      </w:tr>
      <w:tr>
        <w:trPr>
          <w:cantSplit/>
        </w:trPr>
        <w:tc>
          <w:tcPr>
            <w:tcW w:type="dxa" w:w="1728"/>
            <w:vAlign w:val="center"/>
          </w:tcPr>
          <w:p>
            <w:pPr>
              <w:spacing w:after="0" w:before="0" w:line="240" w:lineRule="auto"/>
            </w:pPr>
            <w:r>
              <w:rPr>
                <w:b w:val="0"/>
                <w:color w:val="000000"/>
                <w:sz w:val="21"/>
              </w:rPr>
              <w:t>Diversification</w:t>
            </w:r>
          </w:p>
        </w:tc>
        <w:tc>
          <w:tcPr>
            <w:tcW w:type="dxa" w:w="3528"/>
            <w:vAlign w:val="center"/>
          </w:tcPr>
          <w:p>
            <w:pPr>
              <w:spacing w:after="0" w:before="0" w:line="240" w:lineRule="auto"/>
            </w:pPr>
            <w:r>
              <w:rPr>
                <w:b w:val="0"/>
                <w:color w:val="000000"/>
                <w:sz w:val="21"/>
              </w:rPr>
              <w:t>Six active return correlations and four wealth mixtures</w:t>
            </w:r>
          </w:p>
        </w:tc>
        <w:tc>
          <w:tcPr>
            <w:tcW w:type="dxa" w:w="4104"/>
            <w:vAlign w:val="center"/>
          </w:tcPr>
          <w:p>
            <w:pPr>
              <w:spacing w:after="0" w:before="0" w:line="240" w:lineRule="auto"/>
            </w:pPr>
            <w:r>
              <w:rPr>
                <w:b w:val="0"/>
                <w:color w:val="000000"/>
                <w:sz w:val="21"/>
              </w:rPr>
              <w:t>Combining different exposures may smooth the path</w:t>
            </w:r>
          </w:p>
        </w:tc>
      </w:tr>
      <w:tr>
        <w:trPr>
          <w:cantSplit/>
        </w:trPr>
        <w:tc>
          <w:tcPr>
            <w:tcW w:type="dxa" w:w="1728"/>
            <w:vAlign w:val="center"/>
          </w:tcPr>
          <w:p>
            <w:pPr>
              <w:spacing w:after="0" w:before="0" w:line="240" w:lineRule="auto"/>
            </w:pPr>
            <w:r>
              <w:rPr>
                <w:b w:val="0"/>
                <w:color w:val="000000"/>
                <w:sz w:val="21"/>
              </w:rPr>
              <w:t>Cost robustness</w:t>
            </w:r>
          </w:p>
        </w:tc>
        <w:tc>
          <w:tcPr>
            <w:tcW w:type="dxa" w:w="3528"/>
            <w:vAlign w:val="center"/>
          </w:tcPr>
          <w:p>
            <w:pPr>
              <w:spacing w:after="0" w:before="0" w:line="240" w:lineRule="auto"/>
            </w:pPr>
            <w:r>
              <w:rPr>
                <w:b w:val="0"/>
                <w:color w:val="000000"/>
                <w:sz w:val="21"/>
              </w:rPr>
              <w:t>Same definitions and weights at 1, 3, 10 and 25 bp slippage</w:t>
            </w:r>
          </w:p>
        </w:tc>
        <w:tc>
          <w:tcPr>
            <w:tcW w:type="dxa" w:w="4104"/>
            <w:vAlign w:val="center"/>
          </w:tcPr>
          <w:p>
            <w:pPr>
              <w:spacing w:after="0" w:before="0" w:line="240" w:lineRule="auto"/>
            </w:pPr>
            <w:r>
              <w:rPr>
                <w:b w:val="0"/>
                <w:color w:val="000000"/>
                <w:sz w:val="21"/>
              </w:rPr>
              <w:t>Costs are stressed without reselection</w:t>
            </w:r>
          </w:p>
        </w:tc>
      </w:tr>
      <w:tr>
        <w:trPr>
          <w:cantSplit/>
        </w:trPr>
        <w:tc>
          <w:tcPr>
            <w:tcW w:type="dxa" w:w="1728"/>
            <w:vAlign w:val="center"/>
          </w:tcPr>
          <w:p>
            <w:pPr>
              <w:spacing w:after="0" w:before="0" w:line="240" w:lineRule="auto"/>
            </w:pPr>
            <w:r>
              <w:rPr>
                <w:b w:val="0"/>
                <w:color w:val="000000"/>
                <w:sz w:val="21"/>
              </w:rPr>
              <w:t>Temporal stability</w:t>
            </w:r>
          </w:p>
        </w:tc>
        <w:tc>
          <w:tcPr>
            <w:tcW w:type="dxa" w:w="3528"/>
            <w:vAlign w:val="center"/>
          </w:tcPr>
          <w:p>
            <w:pPr>
              <w:spacing w:after="0" w:before="0" w:line="240" w:lineRule="auto"/>
            </w:pPr>
            <w:r>
              <w:rPr>
                <w:b w:val="0"/>
                <w:color w:val="000000"/>
                <w:sz w:val="21"/>
              </w:rPr>
              <w:t>Independent accounts in three historical periods</w:t>
            </w:r>
          </w:p>
        </w:tc>
        <w:tc>
          <w:tcPr>
            <w:tcW w:type="dxa" w:w="4104"/>
            <w:vAlign w:val="center"/>
          </w:tcPr>
          <w:p>
            <w:pPr>
              <w:spacing w:after="0" w:before="0" w:line="240" w:lineRule="auto"/>
            </w:pPr>
            <w:r>
              <w:rPr>
                <w:b w:val="0"/>
                <w:color w:val="000000"/>
                <w:sz w:val="21"/>
              </w:rPr>
              <w:t>A diagnostic, not a fresh portfolio holdout</w:t>
            </w:r>
          </w:p>
        </w:tc>
      </w:tr>
    </w:tbl>
    <w:p>
      <w:pPr>
        <w:spacing w:after="0"/>
      </w:pPr>
    </w:p>
    <w:p>
      <w:pPr>
        <w:spacing w:after="140"/>
      </w:pPr>
      <w:r>
        <w:rPr>
          <w:b w:val="0"/>
          <w:i w:val="0"/>
        </w:rPr>
        <w:t>Time-series momentum is economically distinct from ranking securities against peers. Moskowitz, Ooi and Pedersen document own-return persistence in futures and forwards [1]. This motivates, but does not validate, our ETF price-versus-EMA gates. Our instruments, long/cash constraint, indicators and confirmation process differ from that paper.</w:t>
      </w:r>
    </w:p>
    <w:p>
      <w:pPr>
        <w:pStyle w:val="Heading2"/>
      </w:pPr>
      <w:r>
        <w:t>Scope of the course research ideas</w:t>
      </w:r>
    </w:p>
    <w:p>
      <w:pPr>
        <w:spacing w:after="140"/>
      </w:pPr>
      <w:r>
        <w:rPr>
          <w:b w:val="0"/>
          <w:i w:val="0"/>
        </w:rPr>
        <w:t>Indicator-window and threshold research is completed. ETF themes provide exposure context, not a tested theme-momentum signal. News or volume filters, weekday and intraday seasonality, mechanical rebalancing events, identified liquidation flows and macro-regime-conditioned signals remain future work. Calendar validation is not a seasonality test. The correlation analysis below measures portfolio diversification; it does not implement a correlated-spread reversal trade.</w:t>
      </w:r>
    </w:p>
    <w:p>
      <w:pPr>
        <w:spacing w:after="140"/>
      </w:pPr>
      <w:r>
        <w:rPr>
          <w:b w:val="0"/>
          <w:i w:val="0"/>
        </w:rPr>
        <w:t>The original grid contains 289 trend definitions and 90 mean-reversion definitions per ETF. These 379 definitions are unique parameter specifications, not 379 independent hypotheses. Correlated variants, sequential pruning and repeated examination make winner-based statistics optimistic unless a genuinely future test is reserved [4].</w:t>
      </w:r>
    </w:p>
    <w:p>
      <w:pPr>
        <w:pStyle w:val="Heading1"/>
        <w:pageBreakBefore/>
      </w:pPr>
      <w:r>
        <w:t>Selected Strategy Definitions</w:t>
      </w:r>
    </w:p>
    <w:p>
      <w:pPr>
        <w:spacing w:after="140"/>
      </w:pPr>
      <w:r>
        <w:rPr>
          <w:b w:val="0"/>
          <w:i w:val="0"/>
        </w:rPr>
        <w:t>The six sleeves are GDX, FXI, QQQ, UNG, FDN and BND. Each holds its own ETF or cash. The same selected configuration is retained at every cost and in every period. These are not portfolios that continuously hold the passive ETFs at the weights shown later.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2016"/>
        <w:gridCol w:w="3744"/>
        <w:gridCol w:w="3600"/>
      </w:tblGrid>
      <w:tr>
        <w:trPr>
          <w:cantSplit/>
          <w:tblHeader/>
        </w:trPr>
        <w:tc>
          <w:tcPr>
            <w:tcW w:type="dxa" w:w="2016"/>
            <w:vAlign w:val="center"/>
            <w:shd w:fill="F2F2F2"/>
          </w:tcPr>
          <w:p>
            <w:pPr>
              <w:spacing w:after="0" w:before="0" w:line="240" w:lineRule="auto"/>
            </w:pPr>
            <w:r>
              <w:rPr>
                <w:b/>
                <w:color w:val="000000"/>
                <w:sz w:val="22"/>
              </w:rPr>
              <w:t>ETF and role</w:t>
            </w:r>
          </w:p>
        </w:tc>
        <w:tc>
          <w:tcPr>
            <w:tcW w:type="dxa" w:w="3744"/>
            <w:vAlign w:val="center"/>
            <w:shd w:fill="F2F2F2"/>
          </w:tcPr>
          <w:p>
            <w:pPr>
              <w:spacing w:after="0" w:before="0" w:line="240" w:lineRule="auto"/>
            </w:pPr>
            <w:r>
              <w:rPr>
                <w:b/>
                <w:color w:val="000000"/>
                <w:sz w:val="22"/>
              </w:rPr>
              <w:t>Entry while in cash</w:t>
            </w:r>
          </w:p>
        </w:tc>
        <w:tc>
          <w:tcPr>
            <w:tcW w:type="dxa" w:w="3600"/>
            <w:vAlign w:val="center"/>
            <w:shd w:fill="F2F2F2"/>
          </w:tcPr>
          <w:p>
            <w:pPr>
              <w:spacing w:after="0" w:before="0" w:line="240" w:lineRule="auto"/>
            </w:pPr>
            <w:r>
              <w:rPr>
                <w:b/>
                <w:color w:val="000000"/>
                <w:sz w:val="22"/>
              </w:rPr>
              <w:t>Exit while long</w:t>
            </w:r>
          </w:p>
        </w:tc>
      </w:tr>
      <w:tr>
        <w:trPr>
          <w:cantSplit/>
        </w:trPr>
        <w:tc>
          <w:tcPr>
            <w:tcW w:type="dxa" w:w="2016"/>
            <w:vAlign w:val="center"/>
          </w:tcPr>
          <w:p>
            <w:pPr>
              <w:spacing w:after="0" w:before="0" w:line="240" w:lineRule="auto"/>
            </w:pPr>
            <w:r>
              <w:rPr>
                <w:b w:val="0"/>
                <w:color w:val="000000"/>
                <w:sz w:val="22"/>
              </w:rPr>
              <w:t>GDX</w:t>
              <w:br/>
              <w:t>Gold miners recovery</w:t>
            </w:r>
          </w:p>
        </w:tc>
        <w:tc>
          <w:tcPr>
            <w:tcW w:type="dxa" w:w="3744"/>
            <w:vAlign w:val="center"/>
          </w:tcPr>
          <w:p>
            <w:pPr>
              <w:spacing w:after="0" w:before="0" w:line="240" w:lineRule="auto"/>
            </w:pPr>
            <w:r>
              <w:rPr>
                <w:b w:val="0"/>
                <w:color w:val="000000"/>
                <w:sz w:val="22"/>
              </w:rPr>
              <w:t>20 day z score ≤ −2</w:t>
            </w:r>
          </w:p>
        </w:tc>
        <w:tc>
          <w:tcPr>
            <w:tcW w:type="dxa" w:w="3600"/>
            <w:vAlign w:val="center"/>
          </w:tcPr>
          <w:p>
            <w:pPr>
              <w:spacing w:after="0" w:before="0" w:line="240" w:lineRule="auto"/>
            </w:pPr>
            <w:r>
              <w:rPr>
                <w:b w:val="0"/>
                <w:color w:val="000000"/>
                <w:sz w:val="22"/>
              </w:rPr>
              <w:t>20 day z score ≥ 0</w:t>
            </w:r>
          </w:p>
        </w:tc>
      </w:tr>
      <w:tr>
        <w:trPr>
          <w:cantSplit/>
        </w:trPr>
        <w:tc>
          <w:tcPr>
            <w:tcW w:type="dxa" w:w="2016"/>
            <w:vAlign w:val="center"/>
          </w:tcPr>
          <w:p>
            <w:pPr>
              <w:spacing w:after="0" w:before="0" w:line="240" w:lineRule="auto"/>
            </w:pPr>
            <w:r>
              <w:rPr>
                <w:b w:val="0"/>
                <w:color w:val="000000"/>
                <w:sz w:val="22"/>
              </w:rPr>
              <w:t>FXI</w:t>
              <w:br/>
              <w:t>China recovery</w:t>
            </w:r>
          </w:p>
        </w:tc>
        <w:tc>
          <w:tcPr>
            <w:tcW w:type="dxa" w:w="3744"/>
            <w:vAlign w:val="center"/>
          </w:tcPr>
          <w:p>
            <w:pPr>
              <w:spacing w:after="0" w:before="0" w:line="240" w:lineRule="auto"/>
            </w:pPr>
            <w:r>
              <w:rPr>
                <w:b w:val="0"/>
                <w:color w:val="000000"/>
                <w:sz w:val="22"/>
              </w:rPr>
              <w:t>50 day z score ≤ −2</w:t>
            </w:r>
          </w:p>
        </w:tc>
        <w:tc>
          <w:tcPr>
            <w:tcW w:type="dxa" w:w="3600"/>
            <w:vAlign w:val="center"/>
          </w:tcPr>
          <w:p>
            <w:pPr>
              <w:spacing w:after="0" w:before="0" w:line="240" w:lineRule="auto"/>
            </w:pPr>
            <w:r>
              <w:rPr>
                <w:b w:val="0"/>
                <w:color w:val="000000"/>
                <w:sz w:val="22"/>
              </w:rPr>
              <w:t>50 day z score ≥ +0.5</w:t>
            </w:r>
          </w:p>
        </w:tc>
      </w:tr>
      <w:tr>
        <w:trPr>
          <w:cantSplit/>
        </w:trPr>
        <w:tc>
          <w:tcPr>
            <w:tcW w:type="dxa" w:w="2016"/>
            <w:vAlign w:val="center"/>
          </w:tcPr>
          <w:p>
            <w:pPr>
              <w:spacing w:after="0" w:before="0" w:line="240" w:lineRule="auto"/>
            </w:pPr>
            <w:r>
              <w:rPr>
                <w:b w:val="0"/>
                <w:color w:val="000000"/>
                <w:sz w:val="22"/>
              </w:rPr>
              <w:t>QQQ</w:t>
              <w:br/>
              <w:t>Nasdaq 100 trend</w:t>
            </w:r>
          </w:p>
        </w:tc>
        <w:tc>
          <w:tcPr>
            <w:tcW w:type="dxa" w:w="3744"/>
            <w:vAlign w:val="center"/>
          </w:tcPr>
          <w:p>
            <w:pPr>
              <w:spacing w:after="0" w:before="0" w:line="240" w:lineRule="auto"/>
            </w:pPr>
            <w:r>
              <w:rPr>
                <w:b w:val="0"/>
                <w:color w:val="000000"/>
                <w:sz w:val="22"/>
              </w:rPr>
              <w:t>Price &gt; projected EMA50 AND projected EMA200</w:t>
            </w:r>
          </w:p>
        </w:tc>
        <w:tc>
          <w:tcPr>
            <w:tcW w:type="dxa" w:w="3600"/>
            <w:vAlign w:val="center"/>
          </w:tcPr>
          <w:p>
            <w:pPr>
              <w:spacing w:after="0" w:before="0" w:line="240" w:lineRule="auto"/>
            </w:pPr>
            <w:r>
              <w:rPr>
                <w:b w:val="0"/>
                <w:color w:val="000000"/>
                <w:sz w:val="22"/>
              </w:rPr>
              <w:t>Price ≤ projected EMA200</w:t>
            </w:r>
          </w:p>
        </w:tc>
      </w:tr>
      <w:tr>
        <w:trPr>
          <w:cantSplit/>
        </w:trPr>
        <w:tc>
          <w:tcPr>
            <w:tcW w:type="dxa" w:w="2016"/>
            <w:vAlign w:val="center"/>
          </w:tcPr>
          <w:p>
            <w:pPr>
              <w:spacing w:after="0" w:before="0" w:line="240" w:lineRule="auto"/>
            </w:pPr>
            <w:r>
              <w:rPr>
                <w:b w:val="0"/>
                <w:color w:val="000000"/>
                <w:sz w:val="22"/>
              </w:rPr>
              <w:t>UNG</w:t>
              <w:br/>
              <w:t>Natural gas recovery</w:t>
            </w:r>
          </w:p>
        </w:tc>
        <w:tc>
          <w:tcPr>
            <w:tcW w:type="dxa" w:w="3744"/>
            <w:vAlign w:val="center"/>
          </w:tcPr>
          <w:p>
            <w:pPr>
              <w:spacing w:after="0" w:before="0" w:line="240" w:lineRule="auto"/>
            </w:pPr>
            <w:r>
              <w:rPr>
                <w:b w:val="0"/>
                <w:color w:val="000000"/>
                <w:sz w:val="22"/>
              </w:rPr>
              <w:t>Wilder RSI14 ≤ 30</w:t>
            </w:r>
          </w:p>
        </w:tc>
        <w:tc>
          <w:tcPr>
            <w:tcW w:type="dxa" w:w="3600"/>
            <w:vAlign w:val="center"/>
          </w:tcPr>
          <w:p>
            <w:pPr>
              <w:spacing w:after="0" w:before="0" w:line="240" w:lineRule="auto"/>
            </w:pPr>
            <w:r>
              <w:rPr>
                <w:b w:val="0"/>
                <w:color w:val="000000"/>
                <w:sz w:val="22"/>
              </w:rPr>
              <w:t>Wilder RSI14 ≥ 50</w:t>
            </w:r>
          </w:p>
        </w:tc>
      </w:tr>
      <w:tr>
        <w:trPr>
          <w:cantSplit/>
        </w:trPr>
        <w:tc>
          <w:tcPr>
            <w:tcW w:type="dxa" w:w="2016"/>
            <w:vAlign w:val="center"/>
          </w:tcPr>
          <w:p>
            <w:pPr>
              <w:spacing w:after="0" w:before="0" w:line="240" w:lineRule="auto"/>
            </w:pPr>
            <w:r>
              <w:rPr>
                <w:b w:val="0"/>
                <w:color w:val="000000"/>
                <w:sz w:val="22"/>
              </w:rPr>
              <w:t>FDN</w:t>
              <w:br/>
              <w:t>Internet trend</w:t>
            </w:r>
          </w:p>
        </w:tc>
        <w:tc>
          <w:tcPr>
            <w:tcW w:type="dxa" w:w="3744"/>
            <w:vAlign w:val="center"/>
          </w:tcPr>
          <w:p>
            <w:pPr>
              <w:spacing w:after="0" w:before="0" w:line="240" w:lineRule="auto"/>
            </w:pPr>
            <w:r>
              <w:rPr>
                <w:b w:val="0"/>
                <w:color w:val="000000"/>
                <w:sz w:val="22"/>
              </w:rPr>
              <w:t>Price &gt; projected EMA50 AND projected EMA100</w:t>
            </w:r>
          </w:p>
        </w:tc>
        <w:tc>
          <w:tcPr>
            <w:tcW w:type="dxa" w:w="3600"/>
            <w:vAlign w:val="center"/>
          </w:tcPr>
          <w:p>
            <w:pPr>
              <w:spacing w:after="0" w:before="0" w:line="240" w:lineRule="auto"/>
            </w:pPr>
            <w:r>
              <w:rPr>
                <w:b w:val="0"/>
                <w:color w:val="000000"/>
                <w:sz w:val="22"/>
              </w:rPr>
              <w:t>Price ≤ projected EMA100</w:t>
            </w:r>
          </w:p>
        </w:tc>
      </w:tr>
      <w:tr>
        <w:trPr>
          <w:cantSplit/>
        </w:trPr>
        <w:tc>
          <w:tcPr>
            <w:tcW w:type="dxa" w:w="2016"/>
            <w:vAlign w:val="center"/>
          </w:tcPr>
          <w:p>
            <w:pPr>
              <w:spacing w:after="0" w:before="0" w:line="240" w:lineRule="auto"/>
            </w:pPr>
            <w:r>
              <w:rPr>
                <w:b w:val="0"/>
                <w:color w:val="000000"/>
                <w:sz w:val="22"/>
              </w:rPr>
              <w:t>BND</w:t>
              <w:br/>
              <w:t>Broad bond recovery</w:t>
            </w:r>
          </w:p>
        </w:tc>
        <w:tc>
          <w:tcPr>
            <w:tcW w:type="dxa" w:w="3744"/>
            <w:vAlign w:val="center"/>
          </w:tcPr>
          <w:p>
            <w:pPr>
              <w:spacing w:after="0" w:before="0" w:line="240" w:lineRule="auto"/>
            </w:pPr>
            <w:r>
              <w:rPr>
                <w:b w:val="0"/>
                <w:color w:val="000000"/>
                <w:sz w:val="22"/>
              </w:rPr>
              <w:t>Price / projected EMA50 − 1 ≤ −2%</w:t>
            </w:r>
          </w:p>
        </w:tc>
        <w:tc>
          <w:tcPr>
            <w:tcW w:type="dxa" w:w="3600"/>
            <w:vAlign w:val="center"/>
          </w:tcPr>
          <w:p>
            <w:pPr>
              <w:spacing w:after="0" w:before="0" w:line="240" w:lineRule="auto"/>
            </w:pPr>
            <w:r>
              <w:rPr>
                <w:b w:val="0"/>
                <w:color w:val="000000"/>
                <w:sz w:val="22"/>
              </w:rPr>
              <w:t>Price / projected EMA50 − 1 ≥ +1%</w:t>
            </w:r>
          </w:p>
        </w:tc>
      </w:tr>
    </w:tbl>
    <w:p>
      <w:pPr>
        <w:spacing w:after="0"/>
      </w:pPr>
    </w:p>
    <w:p>
      <w:pPr>
        <w:spacing w:after="140"/>
      </w:pPr>
      <w:r>
        <w:rPr>
          <w:b w:val="0"/>
          <w:i w:val="0"/>
        </w:rPr>
        <w:t>“Price” in these rules is the provisional forward total-return index at the current completed half-hour observation. QQQ and FDN are price-versus-EMA gates, not EMA50/EMA200 or EMA50/EMA100 crossover systems. The exit EMA also guards entry. Mean-reversion thresholds are inclusive; trend entry is strictly above both gates.</w:t>
      </w:r>
    </w:p>
    <w:p>
      <w:pPr>
        <w:spacing w:after="140"/>
      </w:pPr>
      <w:r>
        <w:rPr>
          <w:b w:val="0"/>
          <w:i w:val="0"/>
        </w:rPr>
        <w:t>Every supported entry or exit condition must hold for seven consecutive eligible half-hour checks spanning three trading hours. A one-time threshold crossing is insufficient. Normal session closures do not count as observations and may carry a streak. After confirmation, an order executes at the next eligible bar open, not the signal bar close.</w:t>
      </w:r>
    </w:p>
    <w:p>
      <w:pPr>
        <w:pStyle w:val="Heading2"/>
      </w:pPr>
      <w:r>
        <w:t>Causal daily indicator projection</w:t>
      </w:r>
    </w:p>
    <w:p>
      <w:pPr>
        <w:spacing w:after="140"/>
      </w:pPr>
      <w:r>
        <w:rPr>
          <w:b w:val="0"/>
          <w:i w:val="0"/>
        </w:rPr>
        <w:t>Each intraday preview starts from the previous finalized daily state plus one provisional observation, never the preceding half-hour’s recursive state. EMA uses smoothing 2/(n+1). Wilder RSI14 seeds average gains and losses over 14 daily changes, then smooths by 1/14. The z score combines n−1 finalized daily values with the provisional value and sample SD (ddof=1); undefined variance gives no signal. Exact parameters are in the supplement.</w:t>
      </w:r>
    </w:p>
    <w:p>
      <w:pPr>
        <w:pStyle w:val="Heading1"/>
        <w:pageBreakBefore/>
      </w:pPr>
      <w:r>
        <w:t>3 Data</w:t>
      </w:r>
    </w:p>
    <w:p>
      <w:pPr>
        <w:spacing w:after="140"/>
      </w:pPr>
      <w:r>
        <w:rPr>
          <w:b w:val="0"/>
          <w:i w:val="0"/>
        </w:rPr>
        <w:t>The parent campaign covers 56 actual ETFs: 6 US index products, 13 international or country products, 10 broad sectors, 13 industries or subsectors, 9 bond products and 5 commodity or precious-metal products. The present portfolio report uses only the six selected sleeves. It does not infer a category portfolio from pooled ETF results.</w:t>
      </w:r>
    </w:p>
    <w:p>
      <w:pPr>
        <w:spacing w:after="140"/>
      </w:pPr>
      <w:r>
        <w:rPr>
          <w:b w:val="0"/>
          <w:i w:val="0"/>
        </w:rPr>
        <w:t>The research uses retrospectively captured Alpha Vantage records: native raw 30-minute observations where available and matching-vintage restored legacy records otherwise, plus daily prices and corporate actions. Checks use separate daily anchors, available same-provider 15-to-30-minute comparisons and native overlaps; these are not independent-vendor confirmations. An adjusted intraday series cannot be restored with a different adjustment vintage. The parent campaign checked corporate actions, exchange sessions, early closes, DST, duplicate and missing observations before freezing inputs.</w:t>
      </w:r>
    </w:p>
    <w:p>
      <w:pPr>
        <w:spacing w:after="140"/>
      </w:pPr>
      <w:r>
        <w:rPr>
          <w:b w:val="0"/>
          <w:i w:val="0"/>
        </w:rPr>
        <w:t>Daily feature initialization begins in 2015 with sufficient completed daily observations before scoring. Historical accounts retain their original frozen data vintages and approved corporate-action choices. Causal features do not make these retrospectively captured records a point-in-time vendor database. This report neither merges vintages nor transfers QQQ-specific exceptions.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1800"/>
        <w:gridCol w:w="3816"/>
        <w:gridCol w:w="1872"/>
        <w:gridCol w:w="1872"/>
      </w:tblGrid>
      <w:tr>
        <w:trPr>
          <w:cantSplit/>
          <w:tblHeader/>
        </w:trPr>
        <w:tc>
          <w:tcPr>
            <w:tcW w:type="dxa" w:w="1800"/>
            <w:vAlign w:val="center"/>
            <w:shd w:fill="F2F2F2"/>
          </w:tcPr>
          <w:p>
            <w:pPr>
              <w:spacing w:after="0" w:before="0" w:line="240" w:lineRule="auto"/>
            </w:pPr>
            <w:r>
              <w:rPr>
                <w:b/>
                <w:color w:val="000000"/>
                <w:sz w:val="22"/>
              </w:rPr>
              <w:t>Stage</w:t>
            </w:r>
          </w:p>
        </w:tc>
        <w:tc>
          <w:tcPr>
            <w:tcW w:type="dxa" w:w="3816"/>
            <w:vAlign w:val="center"/>
            <w:shd w:fill="F2F2F2"/>
          </w:tcPr>
          <w:p>
            <w:pPr>
              <w:spacing w:after="0" w:before="0" w:line="240" w:lineRule="auto"/>
            </w:pPr>
            <w:r>
              <w:rPr>
                <w:b/>
                <w:color w:val="000000"/>
                <w:sz w:val="22"/>
              </w:rPr>
              <w:t>Scored calendar interval</w:t>
            </w:r>
          </w:p>
        </w:tc>
        <w:tc>
          <w:tcPr>
            <w:tcW w:type="dxa" w:w="1872"/>
            <w:vAlign w:val="center"/>
            <w:shd w:fill="F2F2F2"/>
          </w:tcPr>
          <w:p>
            <w:pPr>
              <w:spacing w:after="0" w:before="0" w:line="240" w:lineRule="auto"/>
            </w:pPr>
            <w:r>
              <w:rPr>
                <w:b/>
                <w:color w:val="000000"/>
                <w:sz w:val="22"/>
              </w:rPr>
              <w:t>Observed sessions</w:t>
            </w:r>
          </w:p>
        </w:tc>
        <w:tc>
          <w:tcPr>
            <w:tcW w:type="dxa" w:w="1872"/>
            <w:vAlign w:val="center"/>
            <w:shd w:fill="F2F2F2"/>
          </w:tcPr>
          <w:p>
            <w:pPr>
              <w:spacing w:after="0" w:before="0" w:line="240" w:lineRule="auto"/>
            </w:pPr>
            <w:r>
              <w:rPr>
                <w:b/>
                <w:color w:val="000000"/>
                <w:sz w:val="22"/>
              </w:rPr>
              <w:t>ACT 365 years</w:t>
            </w:r>
          </w:p>
        </w:tc>
      </w:tr>
      <w:tr>
        <w:trPr>
          <w:cantSplit/>
        </w:trPr>
        <w:tc>
          <w:tcPr>
            <w:tcW w:type="dxa" w:w="1800"/>
            <w:vAlign w:val="center"/>
          </w:tcPr>
          <w:p>
            <w:pPr>
              <w:spacing w:after="0" w:before="0" w:line="240" w:lineRule="auto"/>
            </w:pPr>
            <w:r>
              <w:rPr>
                <w:b w:val="0"/>
                <w:color w:val="000000"/>
                <w:sz w:val="22"/>
              </w:rPr>
              <w:t>Development</w:t>
            </w:r>
          </w:p>
        </w:tc>
        <w:tc>
          <w:tcPr>
            <w:tcW w:type="dxa" w:w="3816"/>
            <w:vAlign w:val="center"/>
          </w:tcPr>
          <w:p>
            <w:pPr>
              <w:spacing w:after="0" w:before="0" w:line="240" w:lineRule="auto"/>
            </w:pPr>
            <w:r>
              <w:rPr>
                <w:b w:val="0"/>
                <w:color w:val="000000"/>
                <w:sz w:val="22"/>
              </w:rPr>
              <w:t>2017-01-01 to 2020-12-31</w:t>
            </w:r>
          </w:p>
        </w:tc>
        <w:tc>
          <w:tcPr>
            <w:tcW w:type="dxa" w:w="1872"/>
            <w:vAlign w:val="center"/>
          </w:tcPr>
          <w:p>
            <w:pPr>
              <w:spacing w:after="0" w:before="0" w:line="240" w:lineRule="auto"/>
            </w:pPr>
            <w:r>
              <w:rPr>
                <w:b w:val="0"/>
                <w:color w:val="000000"/>
                <w:sz w:val="22"/>
              </w:rPr>
              <w:t>1,007</w:t>
            </w:r>
          </w:p>
        </w:tc>
        <w:tc>
          <w:tcPr>
            <w:tcW w:type="dxa" w:w="1872"/>
            <w:vAlign w:val="center"/>
          </w:tcPr>
          <w:p>
            <w:pPr>
              <w:spacing w:after="0" w:before="0" w:line="240" w:lineRule="auto"/>
            </w:pPr>
            <w:r>
              <w:rPr>
                <w:b w:val="0"/>
                <w:color w:val="000000"/>
                <w:sz w:val="22"/>
              </w:rPr>
              <w:t>3.995377</w:t>
            </w:r>
          </w:p>
        </w:tc>
      </w:tr>
      <w:tr>
        <w:trPr>
          <w:cantSplit/>
        </w:trPr>
        <w:tc>
          <w:tcPr>
            <w:tcW w:type="dxa" w:w="1800"/>
            <w:vAlign w:val="center"/>
          </w:tcPr>
          <w:p>
            <w:pPr>
              <w:spacing w:after="0" w:before="0" w:line="240" w:lineRule="auto"/>
            </w:pPr>
            <w:r>
              <w:rPr>
                <w:b w:val="0"/>
                <w:color w:val="000000"/>
                <w:sz w:val="22"/>
              </w:rPr>
              <w:t>Validation</w:t>
            </w:r>
          </w:p>
        </w:tc>
        <w:tc>
          <w:tcPr>
            <w:tcW w:type="dxa" w:w="3816"/>
            <w:vAlign w:val="center"/>
          </w:tcPr>
          <w:p>
            <w:pPr>
              <w:spacing w:after="0" w:before="0" w:line="240" w:lineRule="auto"/>
            </w:pPr>
            <w:r>
              <w:rPr>
                <w:b w:val="0"/>
                <w:color w:val="000000"/>
                <w:sz w:val="22"/>
              </w:rPr>
              <w:t>2021-01-01 to 2023-12-31</w:t>
            </w:r>
          </w:p>
        </w:tc>
        <w:tc>
          <w:tcPr>
            <w:tcW w:type="dxa" w:w="1872"/>
            <w:vAlign w:val="center"/>
          </w:tcPr>
          <w:p>
            <w:pPr>
              <w:spacing w:after="0" w:before="0" w:line="240" w:lineRule="auto"/>
            </w:pPr>
            <w:r>
              <w:rPr>
                <w:b w:val="0"/>
                <w:color w:val="000000"/>
                <w:sz w:val="22"/>
              </w:rPr>
              <w:t>753</w:t>
            </w:r>
          </w:p>
        </w:tc>
        <w:tc>
          <w:tcPr>
            <w:tcW w:type="dxa" w:w="1872"/>
            <w:vAlign w:val="center"/>
          </w:tcPr>
          <w:p>
            <w:pPr>
              <w:spacing w:after="0" w:before="0" w:line="240" w:lineRule="auto"/>
            </w:pPr>
            <w:r>
              <w:rPr>
                <w:b w:val="0"/>
                <w:color w:val="000000"/>
                <w:sz w:val="22"/>
              </w:rPr>
              <w:t>2.984418</w:t>
            </w:r>
          </w:p>
        </w:tc>
      </w:tr>
      <w:tr>
        <w:trPr>
          <w:cantSplit/>
        </w:trPr>
        <w:tc>
          <w:tcPr>
            <w:tcW w:type="dxa" w:w="1800"/>
            <w:vAlign w:val="center"/>
          </w:tcPr>
          <w:p>
            <w:pPr>
              <w:spacing w:after="0" w:before="0" w:line="240" w:lineRule="auto"/>
            </w:pPr>
            <w:r>
              <w:rPr>
                <w:b w:val="0"/>
                <w:color w:val="000000"/>
                <w:sz w:val="22"/>
              </w:rPr>
              <w:t>Historical OOS</w:t>
            </w:r>
          </w:p>
        </w:tc>
        <w:tc>
          <w:tcPr>
            <w:tcW w:type="dxa" w:w="3816"/>
            <w:vAlign w:val="center"/>
          </w:tcPr>
          <w:p>
            <w:pPr>
              <w:spacing w:after="0" w:before="0" w:line="240" w:lineRule="auto"/>
            </w:pPr>
            <w:r>
              <w:rPr>
                <w:b w:val="0"/>
                <w:color w:val="000000"/>
                <w:sz w:val="22"/>
              </w:rPr>
              <w:t>2024-01-01 to 2026-10-15</w:t>
            </w:r>
          </w:p>
        </w:tc>
        <w:tc>
          <w:tcPr>
            <w:tcW w:type="dxa" w:w="1872"/>
            <w:vAlign w:val="center"/>
          </w:tcPr>
          <w:p>
            <w:pPr>
              <w:spacing w:after="0" w:before="0" w:line="240" w:lineRule="auto"/>
            </w:pPr>
            <w:r>
              <w:rPr>
                <w:b w:val="0"/>
                <w:color w:val="000000"/>
                <w:sz w:val="22"/>
              </w:rPr>
              <w:t>700</w:t>
            </w:r>
          </w:p>
        </w:tc>
        <w:tc>
          <w:tcPr>
            <w:tcW w:type="dxa" w:w="1872"/>
            <w:vAlign w:val="center"/>
          </w:tcPr>
          <w:p>
            <w:pPr>
              <w:spacing w:after="0" w:before="0" w:line="240" w:lineRule="auto"/>
            </w:pPr>
            <w:r>
              <w:rPr>
                <w:b w:val="0"/>
                <w:color w:val="000000"/>
                <w:sz w:val="22"/>
              </w:rPr>
              <w:t>2.787043</w:t>
            </w:r>
          </w:p>
        </w:tc>
      </w:tr>
    </w:tbl>
    <w:p>
      <w:pPr>
        <w:spacing w:after="0"/>
      </w:pPr>
    </w:p>
    <w:p>
      <w:pPr>
        <w:spacing w:after="140"/>
      </w:pPr>
      <w:r>
        <w:rPr>
          <w:b w:val="0"/>
          <w:i w:val="0"/>
        </w:rPr>
        <w:t>The first actual sessions are January 3, 2017; January 4, 2021; and January 2, 2024. Final scored valuations are December 31, 2020; December 29, 2023; and October 15, 2026. Daily valuations use 17:00 America/New_York; fills are not assumed to occur at 17:00. CAGR uses exact first-open-to-terminal elapsed time, not the count of calendar years in a label.</w:t>
      </w:r>
    </w:p>
    <w:p>
      <w:pPr>
        <w:pStyle w:val="Heading2"/>
      </w:pPr>
      <w:r>
        <w:t>Evidence available for this project</w:t>
      </w:r>
    </w:p>
    <w:p>
      <w:pPr>
        <w:spacing w:after="140"/>
      </w:pPr>
      <w:r>
        <w:rPr>
          <w:b w:val="0"/>
          <w:i w:val="0"/>
        </w:rPr>
        <w:t>The portfolio layer reads authenticated saved equity, cash and cost-matched passive benchmark paths. Independent arithmetic checks cover the derived metrics and capital-share diagnostics. Original frozen account/source checks remain intact. This is not a fresh raw-price reconciliation or independent intraday trade-ledger reconstruction; legacy QQQ trade/exposure values in particular are not newly certified. The supplement contains aggregate evidence and portable calculation code, not redistributable raw market data.</w:t>
      </w:r>
    </w:p>
    <w:p>
      <w:pPr>
        <w:pStyle w:val="Heading1"/>
        <w:pageBreakBefore/>
      </w:pPr>
      <w:r>
        <w:t>4 Backtesting</w:t>
      </w:r>
    </w:p>
    <w:p>
      <w:pPr>
        <w:pStyle w:val="Heading2"/>
      </w:pPr>
      <w:r>
        <w:t>Trading and account mechanics</w:t>
      </w:r>
    </w:p>
    <w:p>
      <w:pPr>
        <w:spacing w:after="140"/>
      </w:pPr>
      <w:r>
        <w:rPr>
          <w:b w:val="0"/>
          <w:i w:val="0"/>
        </w:rPr>
        <w:t>Each stage starts independently with $1,000 in cash, no holdings, pending orders or confirmation streaks. Feature history carries forward only to initialize causal indicators. Strategies buy the ETF with available account capital when entry is confirmed and return to cash after a confirmed recovery or trend exit. Fractional shares and proportional fees permit sleeve paths to be scaled by initial portfolio weights.</w:t>
      </w:r>
    </w:p>
    <w:p>
      <w:pPr>
        <w:spacing w:after="140"/>
      </w:pPr>
      <w:r>
        <w:rPr>
          <w:b w:val="0"/>
          <w:i w:val="0"/>
        </w:rPr>
        <w:t>The forward total-return index combines the prior finalized index, current raw price, the split ratio and the ex-date distribution under the frozen corporate-action convention. A current daily observation is finalized only at its prescribed event. Eligible half-hour closes precede the next bar-open execution event; those events may share a clock instant without implying a same-close fill. Known blackouts reset streaks and cancel pending orders. Terminal valuation includes paid liquidation at the safe observed final regular-session close, followed by cash accrual to the daily valuation.</w:t>
      </w:r>
    </w:p>
    <w:p>
      <w:pPr>
        <w:pStyle w:val="Heading2"/>
      </w:pPr>
      <w:r>
        <w:t>Original selection process and later hindsight</w:t>
      </w:r>
    </w:p>
    <w:p>
      <w:pPr>
        <w:spacing w:after="140"/>
      </w:pPr>
      <w:r>
        <w:rPr>
          <w:b w:val="0"/>
          <w:i w:val="0"/>
        </w:rPr>
        <w:t>The original ETF selection gate was applied at 25-bp slippage: candidate net cash-excess Sharpe had to exceed that ETF’s matched buy-and-hold Sharpe, and net CAGR had to exceed two-thirds of buy-and-hold CAGR. The later explicit amendment required positive candidate CAGR whenever buy-and-hold CAGR was negative. Undefined or nonfinite candidates could not pass. ETF lists were filtered for more than five survivors before the next release; EWT was dropped after its disputed revised dividend.</w:t>
      </w:r>
    </w:p>
    <w:p>
      <w:pPr>
        <w:spacing w:after="140"/>
      </w:pPr>
      <w:r>
        <w:rPr>
          <w:b w:val="0"/>
          <w:i w:val="0"/>
        </w:rPr>
        <w:t>The historical OOS release contained 800 locked configurations across 27 ETFs. All 800 remained in the record irrespective of subsequent outcomes. After examining OOS, 57 cases across 12 ETFs met the descriptive joint threshold. A further display filter removed ETFs with only one case OR maximum baseline Sharpe below 0.5, leaving 50 cases across 8 ETFs. One baseline-Sharpe leader per ETF was displayed, with fixed tie-breaking. SMH and XLK were then removed while QQQ was retained, leaving the six sleeves studied here.</w:t>
      </w:r>
    </w:p>
    <w:p>
      <w:pPr>
        <w:spacing w:after="140"/>
      </w:pPr>
      <w:r>
        <w:rPr>
          <w:b w:val="0"/>
          <w:i w:val="0"/>
        </w:rPr>
        <w:t>Portfolio weights were subsequently fitted to the examined 2024–2026 paths. Therefore, “development,” “validation” and “historical OOS” identify the original account windows only. Applying the final configuration choices and OOS-fitted weights backward is retrospective. It is not an end-to-end strategy that could have been selected in 2017, and historical OOS is not a newly untouched portfolio test.</w:t>
      </w:r>
    </w:p>
    <w:p>
      <w:pPr>
        <w:spacing w:after="140"/>
      </w:pPr>
      <w:r>
        <w:rPr>
          <w:b w:val="0"/>
          <w:i w:val="0"/>
        </w:rPr>
        <w:t>The course brief suggests an unconstrained starting backtest. Our adaptation instead has explicit long/cash, no-leverage and staged-account restrictions. We do not claim equivalence to an unspecified classroom implementation. There is no live order placement, portfolio optimization rerun or additional market-data evaluation in this project report.</w:t>
      </w:r>
    </w:p>
    <w:p>
      <w:pPr>
        <w:pStyle w:val="Heading1"/>
        <w:pageBreakBefore/>
      </w:pPr>
      <w:r>
        <w:t>5 Execution and Slippage</w:t>
      </w:r>
    </w:p>
    <w:p>
      <w:pPr>
        <w:spacing w:after="140"/>
      </w:pPr>
      <w:r>
        <w:rPr>
          <w:b w:val="0"/>
          <w:i w:val="0"/>
        </w:rPr>
        <w:t>We retain the ETF study’s execution convention rather than the example’s cryptocurrency fees. Every buy and sell pays 1 bp commission plus the scenario’s one-way slippage. The baseline is 3 bp slippage, or 4 bp total one-way friction. Forced terminal sales are charged as well. A passive benchmark pays its matched entry and liquidation costs under the same timing and corporate-action conventions.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1872"/>
        <w:gridCol w:w="2520"/>
        <w:gridCol w:w="2520"/>
        <w:gridCol w:w="2448"/>
      </w:tblGrid>
      <w:tr>
        <w:trPr>
          <w:cantSplit/>
          <w:tblHeader/>
        </w:trPr>
        <w:tc>
          <w:tcPr>
            <w:tcW w:type="dxa" w:w="1872"/>
            <w:vAlign w:val="center"/>
            <w:shd w:fill="F2F2F2"/>
          </w:tcPr>
          <w:p>
            <w:pPr>
              <w:spacing w:after="0" w:before="0" w:line="240" w:lineRule="auto"/>
            </w:pPr>
            <w:r>
              <w:rPr>
                <w:b/>
                <w:color w:val="000000"/>
                <w:sz w:val="22"/>
              </w:rPr>
              <w:t>Scenario</w:t>
            </w:r>
          </w:p>
        </w:tc>
        <w:tc>
          <w:tcPr>
            <w:tcW w:type="dxa" w:w="2520"/>
            <w:vAlign w:val="center"/>
            <w:shd w:fill="F2F2F2"/>
          </w:tcPr>
          <w:p>
            <w:pPr>
              <w:spacing w:after="0" w:before="0" w:line="240" w:lineRule="auto"/>
            </w:pPr>
            <w:r>
              <w:rPr>
                <w:b/>
                <w:color w:val="000000"/>
                <w:sz w:val="22"/>
              </w:rPr>
              <w:t>Commission each way</w:t>
            </w:r>
          </w:p>
        </w:tc>
        <w:tc>
          <w:tcPr>
            <w:tcW w:type="dxa" w:w="2520"/>
            <w:vAlign w:val="center"/>
            <w:shd w:fill="F2F2F2"/>
          </w:tcPr>
          <w:p>
            <w:pPr>
              <w:spacing w:after="0" w:before="0" w:line="240" w:lineRule="auto"/>
            </w:pPr>
            <w:r>
              <w:rPr>
                <w:b/>
                <w:color w:val="000000"/>
                <w:sz w:val="22"/>
              </w:rPr>
              <w:t>Slippage each way</w:t>
            </w:r>
          </w:p>
        </w:tc>
        <w:tc>
          <w:tcPr>
            <w:tcW w:type="dxa" w:w="2448"/>
            <w:vAlign w:val="center"/>
            <w:shd w:fill="F2F2F2"/>
          </w:tcPr>
          <w:p>
            <w:pPr>
              <w:spacing w:after="0" w:before="0" w:line="240" w:lineRule="auto"/>
            </w:pPr>
            <w:r>
              <w:rPr>
                <w:b/>
                <w:color w:val="000000"/>
                <w:sz w:val="22"/>
              </w:rPr>
              <w:t>Total each way</w:t>
            </w:r>
          </w:p>
        </w:tc>
      </w:tr>
      <w:tr>
        <w:trPr>
          <w:cantSplit/>
        </w:trPr>
        <w:tc>
          <w:tcPr>
            <w:tcW w:type="dxa" w:w="1872"/>
            <w:vAlign w:val="center"/>
          </w:tcPr>
          <w:p>
            <w:pPr>
              <w:spacing w:after="0" w:before="0" w:line="240" w:lineRule="auto"/>
            </w:pPr>
            <w:r>
              <w:rPr>
                <w:b w:val="0"/>
                <w:color w:val="000000"/>
                <w:sz w:val="22"/>
              </w:rPr>
              <w:t>Low</w:t>
            </w:r>
          </w:p>
        </w:tc>
        <w:tc>
          <w:tcPr>
            <w:tcW w:type="dxa" w:w="2520"/>
            <w:vAlign w:val="center"/>
          </w:tcPr>
          <w:p>
            <w:pPr>
              <w:spacing w:after="0" w:before="0" w:line="240" w:lineRule="auto"/>
            </w:pPr>
            <w:r>
              <w:rPr>
                <w:b w:val="0"/>
                <w:color w:val="000000"/>
                <w:sz w:val="22"/>
              </w:rPr>
              <w:t>1 bp</w:t>
            </w:r>
          </w:p>
        </w:tc>
        <w:tc>
          <w:tcPr>
            <w:tcW w:type="dxa" w:w="2520"/>
            <w:vAlign w:val="center"/>
          </w:tcPr>
          <w:p>
            <w:pPr>
              <w:spacing w:after="0" w:before="0" w:line="240" w:lineRule="auto"/>
            </w:pPr>
            <w:r>
              <w:rPr>
                <w:b w:val="0"/>
                <w:color w:val="000000"/>
                <w:sz w:val="22"/>
              </w:rPr>
              <w:t>1 bp</w:t>
            </w:r>
          </w:p>
        </w:tc>
        <w:tc>
          <w:tcPr>
            <w:tcW w:type="dxa" w:w="2448"/>
            <w:vAlign w:val="center"/>
          </w:tcPr>
          <w:p>
            <w:pPr>
              <w:spacing w:after="0" w:before="0" w:line="240" w:lineRule="auto"/>
            </w:pPr>
            <w:r>
              <w:rPr>
                <w:b w:val="0"/>
                <w:color w:val="000000"/>
                <w:sz w:val="22"/>
              </w:rPr>
              <w:t>2 bp</w:t>
            </w:r>
          </w:p>
        </w:tc>
      </w:tr>
      <w:tr>
        <w:trPr>
          <w:cantSplit/>
        </w:trPr>
        <w:tc>
          <w:tcPr>
            <w:tcW w:type="dxa" w:w="1872"/>
            <w:vAlign w:val="center"/>
          </w:tcPr>
          <w:p>
            <w:pPr>
              <w:spacing w:after="0" w:before="0" w:line="240" w:lineRule="auto"/>
            </w:pPr>
            <w:r>
              <w:rPr>
                <w:b w:val="0"/>
                <w:color w:val="000000"/>
                <w:sz w:val="22"/>
              </w:rPr>
              <w:t>Baseline</w:t>
            </w:r>
          </w:p>
        </w:tc>
        <w:tc>
          <w:tcPr>
            <w:tcW w:type="dxa" w:w="2520"/>
            <w:vAlign w:val="center"/>
          </w:tcPr>
          <w:p>
            <w:pPr>
              <w:spacing w:after="0" w:before="0" w:line="240" w:lineRule="auto"/>
            </w:pPr>
            <w:r>
              <w:rPr>
                <w:b w:val="0"/>
                <w:color w:val="000000"/>
                <w:sz w:val="22"/>
              </w:rPr>
              <w:t>1 bp</w:t>
            </w:r>
          </w:p>
        </w:tc>
        <w:tc>
          <w:tcPr>
            <w:tcW w:type="dxa" w:w="2520"/>
            <w:vAlign w:val="center"/>
          </w:tcPr>
          <w:p>
            <w:pPr>
              <w:spacing w:after="0" w:before="0" w:line="240" w:lineRule="auto"/>
            </w:pPr>
            <w:r>
              <w:rPr>
                <w:b w:val="0"/>
                <w:color w:val="000000"/>
                <w:sz w:val="22"/>
              </w:rPr>
              <w:t>3 bp</w:t>
            </w:r>
          </w:p>
        </w:tc>
        <w:tc>
          <w:tcPr>
            <w:tcW w:type="dxa" w:w="2448"/>
            <w:vAlign w:val="center"/>
          </w:tcPr>
          <w:p>
            <w:pPr>
              <w:spacing w:after="0" w:before="0" w:line="240" w:lineRule="auto"/>
            </w:pPr>
            <w:r>
              <w:rPr>
                <w:b w:val="0"/>
                <w:color w:val="000000"/>
                <w:sz w:val="22"/>
              </w:rPr>
              <w:t>4 bp</w:t>
            </w:r>
          </w:p>
        </w:tc>
      </w:tr>
      <w:tr>
        <w:trPr>
          <w:cantSplit/>
        </w:trPr>
        <w:tc>
          <w:tcPr>
            <w:tcW w:type="dxa" w:w="1872"/>
            <w:vAlign w:val="center"/>
          </w:tcPr>
          <w:p>
            <w:pPr>
              <w:spacing w:after="0" w:before="0" w:line="240" w:lineRule="auto"/>
            </w:pPr>
            <w:r>
              <w:rPr>
                <w:b w:val="0"/>
                <w:color w:val="000000"/>
                <w:sz w:val="22"/>
              </w:rPr>
              <w:t>Stress</w:t>
            </w:r>
          </w:p>
        </w:tc>
        <w:tc>
          <w:tcPr>
            <w:tcW w:type="dxa" w:w="2520"/>
            <w:vAlign w:val="center"/>
          </w:tcPr>
          <w:p>
            <w:pPr>
              <w:spacing w:after="0" w:before="0" w:line="240" w:lineRule="auto"/>
            </w:pPr>
            <w:r>
              <w:rPr>
                <w:b w:val="0"/>
                <w:color w:val="000000"/>
                <w:sz w:val="22"/>
              </w:rPr>
              <w:t>1 bp</w:t>
            </w:r>
          </w:p>
        </w:tc>
        <w:tc>
          <w:tcPr>
            <w:tcW w:type="dxa" w:w="2520"/>
            <w:vAlign w:val="center"/>
          </w:tcPr>
          <w:p>
            <w:pPr>
              <w:spacing w:after="0" w:before="0" w:line="240" w:lineRule="auto"/>
            </w:pPr>
            <w:r>
              <w:rPr>
                <w:b w:val="0"/>
                <w:color w:val="000000"/>
                <w:sz w:val="22"/>
              </w:rPr>
              <w:t>10 bp</w:t>
            </w:r>
          </w:p>
        </w:tc>
        <w:tc>
          <w:tcPr>
            <w:tcW w:type="dxa" w:w="2448"/>
            <w:vAlign w:val="center"/>
          </w:tcPr>
          <w:p>
            <w:pPr>
              <w:spacing w:after="0" w:before="0" w:line="240" w:lineRule="auto"/>
            </w:pPr>
            <w:r>
              <w:rPr>
                <w:b w:val="0"/>
                <w:color w:val="000000"/>
                <w:sz w:val="22"/>
              </w:rPr>
              <w:t>11 bp</w:t>
            </w:r>
          </w:p>
        </w:tc>
      </w:tr>
      <w:tr>
        <w:trPr>
          <w:cantSplit/>
        </w:trPr>
        <w:tc>
          <w:tcPr>
            <w:tcW w:type="dxa" w:w="1872"/>
            <w:vAlign w:val="center"/>
          </w:tcPr>
          <w:p>
            <w:pPr>
              <w:spacing w:after="0" w:before="0" w:line="240" w:lineRule="auto"/>
            </w:pPr>
            <w:r>
              <w:rPr>
                <w:b w:val="0"/>
                <w:color w:val="000000"/>
                <w:sz w:val="22"/>
              </w:rPr>
              <w:t>High stress</w:t>
            </w:r>
          </w:p>
        </w:tc>
        <w:tc>
          <w:tcPr>
            <w:tcW w:type="dxa" w:w="2520"/>
            <w:vAlign w:val="center"/>
          </w:tcPr>
          <w:p>
            <w:pPr>
              <w:spacing w:after="0" w:before="0" w:line="240" w:lineRule="auto"/>
            </w:pPr>
            <w:r>
              <w:rPr>
                <w:b w:val="0"/>
                <w:color w:val="000000"/>
                <w:sz w:val="22"/>
              </w:rPr>
              <w:t>1 bp</w:t>
            </w:r>
          </w:p>
        </w:tc>
        <w:tc>
          <w:tcPr>
            <w:tcW w:type="dxa" w:w="2520"/>
            <w:vAlign w:val="center"/>
          </w:tcPr>
          <w:p>
            <w:pPr>
              <w:spacing w:after="0" w:before="0" w:line="240" w:lineRule="auto"/>
            </w:pPr>
            <w:r>
              <w:rPr>
                <w:b w:val="0"/>
                <w:color w:val="000000"/>
                <w:sz w:val="22"/>
              </w:rPr>
              <w:t>25 bp</w:t>
            </w:r>
          </w:p>
        </w:tc>
        <w:tc>
          <w:tcPr>
            <w:tcW w:type="dxa" w:w="2448"/>
            <w:vAlign w:val="center"/>
          </w:tcPr>
          <w:p>
            <w:pPr>
              <w:spacing w:after="0" w:before="0" w:line="240" w:lineRule="auto"/>
            </w:pPr>
            <w:r>
              <w:rPr>
                <w:b w:val="0"/>
                <w:color w:val="000000"/>
                <w:sz w:val="22"/>
              </w:rPr>
              <w:t>26 bp</w:t>
            </w:r>
          </w:p>
        </w:tc>
      </w:tr>
    </w:tbl>
    <w:p>
      <w:pPr>
        <w:spacing w:after="0"/>
      </w:pPr>
    </w:p>
    <w:p>
      <w:pPr>
        <w:spacing w:after="140"/>
      </w:pPr>
      <w:r>
        <w:rPr>
          <w:b w:val="0"/>
          <w:i w:val="0"/>
        </w:rPr>
        <w:t>Costs are embedded in the saved accounts before portfolio aggregation. We do not subtract an additional annual fee or charge portfolio rebalance costs because these are fixed initial-capital sleeves with no cross-sleeve rebalancing. The same full-precision weights are tested at all four costs; there is no cost-specific refit.</w:t>
      </w:r>
    </w:p>
    <w:p>
      <w:pPr>
        <w:pStyle w:val="Heading2"/>
      </w:pPr>
      <w:r>
        <w:t>Cash accrual</w:t>
      </w:r>
    </w:p>
    <w:p>
      <w:pPr>
        <w:spacing w:after="140"/>
      </w:pPr>
      <w:r>
        <w:rPr>
          <w:b w:val="0"/>
          <w:i w:val="0"/>
        </w:rPr>
        <w:t>Idle cash earns 3% nominal ACT/365, event compounded: for an event interval of Δ seconds, cash is multiplied by 1 + 0.03 × Δ/(365 × 86,400). Repeated accrual is not the same as a 3% APY promise. The matched cash return series follows the same clock, including weekends and stage endpoints. Cash-excess Sharpe subtracts that observed cash path; it does not mean return in excess of buy-and-hold.</w:t>
      </w:r>
    </w:p>
    <w:p>
      <w:pPr>
        <w:pStyle w:val="Heading2"/>
      </w:pPr>
      <w:r>
        <w:t>Implementation limits</w:t>
      </w:r>
    </w:p>
    <w:p>
      <w:pPr>
        <w:spacing w:after="140"/>
      </w:pPr>
      <w:r>
        <w:rPr>
          <w:b w:val="0"/>
          <w:i w:val="0"/>
        </w:rPr>
        <w:t>Fixed slippage is a sensitivity assumption, not an empirical order-book estimate. The model does not establish queue priority, market impact, bid–ask dynamics, broker constraints, capacity, taxes or a limit-order fill advantage. Fractional, proportionally scaled accounts can understate difficulties at small actual account sizes. ETF fund expenses and futures roll effects are already reflected in observed ETF prices; they are not assumed equal across products.</w:t>
      </w:r>
    </w:p>
    <w:p>
      <w:pPr>
        <w:spacing w:after="140"/>
      </w:pPr>
      <w:r>
        <w:rPr>
          <w:b w:val="0"/>
          <w:i w:val="0"/>
        </w:rPr>
        <w:t>An implementable continuation would calibrate fills to tradable quotes, size, session liquidity and broker conventions, then add any actual portfolio rebalancing rule and its costs before a new prospective release. That work is not performed here. A high historical Sharpe at the tested slippages alone is not evidence that the strategy can be scaled.</w:t>
      </w:r>
    </w:p>
    <w:p>
      <w:pPr>
        <w:pStyle w:val="Heading1"/>
        <w:pageBreakBefore/>
      </w:pPr>
      <w:r>
        <w:t>6 Weighting</w:t>
      </w:r>
    </w:p>
    <w:p>
      <w:pPr>
        <w:spacing w:after="140"/>
      </w:pPr>
      <w:r>
        <w:rPr>
          <w:b w:val="0"/>
          <w:i w:val="0"/>
        </w:rPr>
        <w:t>Four retained portfolios combine the same six strategy accounts. We exclude the standalone maximum-CAGR portfolio that allocated 100% to the GDX strategy; GDX remains inside the other portfolios. The allocation names describe their original historical fit, not a new optimization or guarantee of global optimality.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1872"/>
        <w:gridCol w:w="1872"/>
        <w:gridCol w:w="1872"/>
        <w:gridCol w:w="1872"/>
        <w:gridCol w:w="1872"/>
      </w:tblGrid>
      <w:tr>
        <w:trPr>
          <w:cantSplit/>
          <w:tblHeader/>
        </w:trPr>
        <w:tc>
          <w:tcPr>
            <w:tcW w:type="dxa" w:w="1872"/>
            <w:vAlign w:val="center"/>
            <w:shd w:fill="F2F2F2"/>
          </w:tcPr>
          <w:p>
            <w:pPr>
              <w:spacing w:after="0" w:before="0" w:line="240" w:lineRule="auto"/>
            </w:pPr>
            <w:r>
              <w:rPr>
                <w:b/>
                <w:color w:val="000000"/>
                <w:sz w:val="22"/>
              </w:rPr>
              <w:t>Strategy sleeve</w:t>
            </w:r>
          </w:p>
        </w:tc>
        <w:tc>
          <w:tcPr>
            <w:tcW w:type="dxa" w:w="1872"/>
            <w:vAlign w:val="center"/>
            <w:shd w:fill="F2F2F2"/>
          </w:tcPr>
          <w:p>
            <w:pPr>
              <w:spacing w:after="0" w:before="0" w:line="240" w:lineRule="auto"/>
            </w:pPr>
            <w:r>
              <w:rPr>
                <w:b/>
                <w:color w:val="000000"/>
                <w:sz w:val="22"/>
              </w:rPr>
              <w:t>Daily cap</w:t>
            </w:r>
          </w:p>
        </w:tc>
        <w:tc>
          <w:tcPr>
            <w:tcW w:type="dxa" w:w="1872"/>
            <w:vAlign w:val="center"/>
            <w:shd w:fill="F2F2F2"/>
          </w:tcPr>
          <w:p>
            <w:pPr>
              <w:spacing w:after="0" w:before="0" w:line="240" w:lineRule="auto"/>
            </w:pPr>
            <w:r>
              <w:rPr>
                <w:b/>
                <w:color w:val="000000"/>
                <w:sz w:val="22"/>
              </w:rPr>
              <w:t>Initial cap</w:t>
            </w:r>
          </w:p>
        </w:tc>
        <w:tc>
          <w:tcPr>
            <w:tcW w:type="dxa" w:w="1872"/>
            <w:vAlign w:val="center"/>
            <w:shd w:fill="F2F2F2"/>
          </w:tcPr>
          <w:p>
            <w:pPr>
              <w:spacing w:after="0" w:before="0" w:line="240" w:lineRule="auto"/>
            </w:pPr>
            <w:r>
              <w:rPr>
                <w:b/>
                <w:color w:val="000000"/>
                <w:sz w:val="22"/>
              </w:rPr>
              <w:t>Uncapped</w:t>
            </w:r>
          </w:p>
        </w:tc>
        <w:tc>
          <w:tcPr>
            <w:tcW w:type="dxa" w:w="1872"/>
            <w:vAlign w:val="center"/>
            <w:shd w:fill="F2F2F2"/>
          </w:tcPr>
          <w:p>
            <w:pPr>
              <w:spacing w:after="0" w:before="0" w:line="240" w:lineRule="auto"/>
            </w:pPr>
            <w:r>
              <w:rPr>
                <w:b/>
                <w:color w:val="000000"/>
                <w:sz w:val="22"/>
              </w:rPr>
              <w:t>Equal initial</w:t>
            </w:r>
          </w:p>
        </w:tc>
      </w:tr>
      <w:tr>
        <w:trPr>
          <w:cantSplit/>
        </w:trPr>
        <w:tc>
          <w:tcPr>
            <w:tcW w:type="dxa" w:w="1872"/>
            <w:vAlign w:val="center"/>
          </w:tcPr>
          <w:p>
            <w:pPr>
              <w:spacing w:after="0" w:before="0" w:line="240" w:lineRule="auto"/>
            </w:pPr>
            <w:r>
              <w:rPr>
                <w:b w:val="0"/>
                <w:color w:val="000000"/>
                <w:sz w:val="22"/>
              </w:rPr>
              <w:t>GDX</w:t>
            </w:r>
          </w:p>
        </w:tc>
        <w:tc>
          <w:tcPr>
            <w:tcW w:type="dxa" w:w="1872"/>
            <w:vAlign w:val="center"/>
          </w:tcPr>
          <w:p>
            <w:pPr>
              <w:spacing w:after="0" w:before="0" w:line="240" w:lineRule="auto"/>
            </w:pPr>
            <w:r>
              <w:rPr>
                <w:b w:val="0"/>
                <w:color w:val="000000"/>
                <w:sz w:val="22"/>
              </w:rPr>
              <w:t>23.5729%</w:t>
            </w:r>
          </w:p>
        </w:tc>
        <w:tc>
          <w:tcPr>
            <w:tcW w:type="dxa" w:w="1872"/>
            <w:vAlign w:val="center"/>
          </w:tcPr>
          <w:p>
            <w:pPr>
              <w:spacing w:after="0" w:before="0" w:line="240" w:lineRule="auto"/>
            </w:pPr>
            <w:r>
              <w:rPr>
                <w:b w:val="0"/>
                <w:color w:val="000000"/>
                <w:sz w:val="22"/>
              </w:rPr>
              <w:t>29.0513%</w:t>
            </w:r>
          </w:p>
        </w:tc>
        <w:tc>
          <w:tcPr>
            <w:tcW w:type="dxa" w:w="1872"/>
            <w:vAlign w:val="center"/>
          </w:tcPr>
          <w:p>
            <w:pPr>
              <w:spacing w:after="0" w:before="0" w:line="240" w:lineRule="auto"/>
            </w:pPr>
            <w:r>
              <w:rPr>
                <w:b w:val="0"/>
                <w:color w:val="000000"/>
                <w:sz w:val="22"/>
              </w:rPr>
              <w:t>3.4761%</w:t>
            </w:r>
          </w:p>
        </w:tc>
        <w:tc>
          <w:tcPr>
            <w:tcW w:type="dxa" w:w="1872"/>
            <w:vAlign w:val="center"/>
          </w:tcPr>
          <w:p>
            <w:pPr>
              <w:spacing w:after="0" w:before="0" w:line="240" w:lineRule="auto"/>
            </w:pPr>
            <w:r>
              <w:rPr>
                <w:b w:val="0"/>
                <w:color w:val="000000"/>
                <w:sz w:val="22"/>
              </w:rPr>
              <w:t>16.6667%</w:t>
            </w:r>
          </w:p>
        </w:tc>
      </w:tr>
      <w:tr>
        <w:trPr>
          <w:cantSplit/>
        </w:trPr>
        <w:tc>
          <w:tcPr>
            <w:tcW w:type="dxa" w:w="1872"/>
            <w:vAlign w:val="center"/>
          </w:tcPr>
          <w:p>
            <w:pPr>
              <w:spacing w:after="0" w:before="0" w:line="240" w:lineRule="auto"/>
            </w:pPr>
            <w:r>
              <w:rPr>
                <w:b w:val="0"/>
                <w:color w:val="000000"/>
                <w:sz w:val="22"/>
              </w:rPr>
              <w:t>FXI</w:t>
            </w:r>
          </w:p>
        </w:tc>
        <w:tc>
          <w:tcPr>
            <w:tcW w:type="dxa" w:w="1872"/>
            <w:vAlign w:val="center"/>
          </w:tcPr>
          <w:p>
            <w:pPr>
              <w:spacing w:after="0" w:before="0" w:line="240" w:lineRule="auto"/>
            </w:pPr>
            <w:r>
              <w:rPr>
                <w:b w:val="0"/>
                <w:color w:val="000000"/>
                <w:sz w:val="22"/>
              </w:rPr>
              <w:t>24.9703%</w:t>
            </w:r>
          </w:p>
        </w:tc>
        <w:tc>
          <w:tcPr>
            <w:tcW w:type="dxa" w:w="1872"/>
            <w:vAlign w:val="center"/>
          </w:tcPr>
          <w:p>
            <w:pPr>
              <w:spacing w:after="0" w:before="0" w:line="240" w:lineRule="auto"/>
            </w:pPr>
            <w:r>
              <w:rPr>
                <w:b w:val="0"/>
                <w:color w:val="000000"/>
                <w:sz w:val="22"/>
              </w:rPr>
              <w:t>27.9920%</w:t>
            </w:r>
          </w:p>
        </w:tc>
        <w:tc>
          <w:tcPr>
            <w:tcW w:type="dxa" w:w="1872"/>
            <w:vAlign w:val="center"/>
          </w:tcPr>
          <w:p>
            <w:pPr>
              <w:spacing w:after="0" w:before="0" w:line="240" w:lineRule="auto"/>
            </w:pPr>
            <w:r>
              <w:rPr>
                <w:b w:val="0"/>
                <w:color w:val="000000"/>
                <w:sz w:val="22"/>
              </w:rPr>
              <w:t>4.2909%</w:t>
            </w:r>
          </w:p>
        </w:tc>
        <w:tc>
          <w:tcPr>
            <w:tcW w:type="dxa" w:w="1872"/>
            <w:vAlign w:val="center"/>
          </w:tcPr>
          <w:p>
            <w:pPr>
              <w:spacing w:after="0" w:before="0" w:line="240" w:lineRule="auto"/>
            </w:pPr>
            <w:r>
              <w:rPr>
                <w:b w:val="0"/>
                <w:color w:val="000000"/>
                <w:sz w:val="22"/>
              </w:rPr>
              <w:t>16.6667%</w:t>
            </w:r>
          </w:p>
        </w:tc>
      </w:tr>
      <w:tr>
        <w:trPr>
          <w:cantSplit/>
        </w:trPr>
        <w:tc>
          <w:tcPr>
            <w:tcW w:type="dxa" w:w="1872"/>
            <w:vAlign w:val="center"/>
          </w:tcPr>
          <w:p>
            <w:pPr>
              <w:spacing w:after="0" w:before="0" w:line="240" w:lineRule="auto"/>
            </w:pPr>
            <w:r>
              <w:rPr>
                <w:b w:val="0"/>
                <w:color w:val="000000"/>
                <w:sz w:val="22"/>
              </w:rPr>
              <w:t>QQQ</w:t>
            </w:r>
          </w:p>
        </w:tc>
        <w:tc>
          <w:tcPr>
            <w:tcW w:type="dxa" w:w="1872"/>
            <w:vAlign w:val="center"/>
          </w:tcPr>
          <w:p>
            <w:pPr>
              <w:spacing w:after="0" w:before="0" w:line="240" w:lineRule="auto"/>
            </w:pPr>
            <w:r>
              <w:rPr>
                <w:b w:val="0"/>
                <w:color w:val="000000"/>
                <w:sz w:val="22"/>
              </w:rPr>
              <w:t>5.6270%</w:t>
            </w:r>
          </w:p>
        </w:tc>
        <w:tc>
          <w:tcPr>
            <w:tcW w:type="dxa" w:w="1872"/>
            <w:vAlign w:val="center"/>
          </w:tcPr>
          <w:p>
            <w:pPr>
              <w:spacing w:after="0" w:before="0" w:line="240" w:lineRule="auto"/>
            </w:pPr>
            <w:r>
              <w:rPr>
                <w:b w:val="0"/>
                <w:color w:val="000000"/>
                <w:sz w:val="22"/>
              </w:rPr>
              <w:t>6.3045%</w:t>
            </w:r>
          </w:p>
        </w:tc>
        <w:tc>
          <w:tcPr>
            <w:tcW w:type="dxa" w:w="1872"/>
            <w:vAlign w:val="center"/>
          </w:tcPr>
          <w:p>
            <w:pPr>
              <w:spacing w:after="0" w:before="0" w:line="240" w:lineRule="auto"/>
            </w:pPr>
            <w:r>
              <w:rPr>
                <w:b w:val="0"/>
                <w:color w:val="000000"/>
                <w:sz w:val="22"/>
              </w:rPr>
              <w:t>1.0866%</w:t>
            </w:r>
          </w:p>
        </w:tc>
        <w:tc>
          <w:tcPr>
            <w:tcW w:type="dxa" w:w="1872"/>
            <w:vAlign w:val="center"/>
          </w:tcPr>
          <w:p>
            <w:pPr>
              <w:spacing w:after="0" w:before="0" w:line="240" w:lineRule="auto"/>
            </w:pPr>
            <w:r>
              <w:rPr>
                <w:b w:val="0"/>
                <w:color w:val="000000"/>
                <w:sz w:val="22"/>
              </w:rPr>
              <w:t>16.6667%</w:t>
            </w:r>
          </w:p>
        </w:tc>
      </w:tr>
      <w:tr>
        <w:trPr>
          <w:cantSplit/>
        </w:trPr>
        <w:tc>
          <w:tcPr>
            <w:tcW w:type="dxa" w:w="1872"/>
            <w:vAlign w:val="center"/>
          </w:tcPr>
          <w:p>
            <w:pPr>
              <w:spacing w:after="0" w:before="0" w:line="240" w:lineRule="auto"/>
            </w:pPr>
            <w:r>
              <w:rPr>
                <w:b w:val="0"/>
                <w:color w:val="000000"/>
                <w:sz w:val="22"/>
              </w:rPr>
              <w:t>UNG</w:t>
            </w:r>
          </w:p>
        </w:tc>
        <w:tc>
          <w:tcPr>
            <w:tcW w:type="dxa" w:w="1872"/>
            <w:vAlign w:val="center"/>
          </w:tcPr>
          <w:p>
            <w:pPr>
              <w:spacing w:after="0" w:before="0" w:line="240" w:lineRule="auto"/>
            </w:pPr>
            <w:r>
              <w:rPr>
                <w:b w:val="0"/>
                <w:color w:val="000000"/>
                <w:sz w:val="22"/>
              </w:rPr>
              <w:t>23.8965%</w:t>
            </w:r>
          </w:p>
        </w:tc>
        <w:tc>
          <w:tcPr>
            <w:tcW w:type="dxa" w:w="1872"/>
            <w:vAlign w:val="center"/>
          </w:tcPr>
          <w:p>
            <w:pPr>
              <w:spacing w:after="0" w:before="0" w:line="240" w:lineRule="auto"/>
            </w:pPr>
            <w:r>
              <w:rPr>
                <w:b w:val="0"/>
                <w:color w:val="000000"/>
                <w:sz w:val="22"/>
              </w:rPr>
              <w:t>26.7293%</w:t>
            </w:r>
          </w:p>
        </w:tc>
        <w:tc>
          <w:tcPr>
            <w:tcW w:type="dxa" w:w="1872"/>
            <w:vAlign w:val="center"/>
          </w:tcPr>
          <w:p>
            <w:pPr>
              <w:spacing w:after="0" w:before="0" w:line="240" w:lineRule="auto"/>
            </w:pPr>
            <w:r>
              <w:rPr>
                <w:b w:val="0"/>
                <w:color w:val="000000"/>
                <w:sz w:val="22"/>
              </w:rPr>
              <w:t>4.6524%</w:t>
            </w:r>
          </w:p>
        </w:tc>
        <w:tc>
          <w:tcPr>
            <w:tcW w:type="dxa" w:w="1872"/>
            <w:vAlign w:val="center"/>
          </w:tcPr>
          <w:p>
            <w:pPr>
              <w:spacing w:after="0" w:before="0" w:line="240" w:lineRule="auto"/>
            </w:pPr>
            <w:r>
              <w:rPr>
                <w:b w:val="0"/>
                <w:color w:val="000000"/>
                <w:sz w:val="22"/>
              </w:rPr>
              <w:t>16.6667%</w:t>
            </w:r>
          </w:p>
        </w:tc>
      </w:tr>
      <w:tr>
        <w:trPr>
          <w:cantSplit/>
        </w:trPr>
        <w:tc>
          <w:tcPr>
            <w:tcW w:type="dxa" w:w="1872"/>
            <w:vAlign w:val="center"/>
          </w:tcPr>
          <w:p>
            <w:pPr>
              <w:spacing w:after="0" w:before="0" w:line="240" w:lineRule="auto"/>
            </w:pPr>
            <w:r>
              <w:rPr>
                <w:b w:val="0"/>
                <w:color w:val="000000"/>
                <w:sz w:val="22"/>
              </w:rPr>
              <w:t>FDN</w:t>
            </w:r>
          </w:p>
        </w:tc>
        <w:tc>
          <w:tcPr>
            <w:tcW w:type="dxa" w:w="1872"/>
            <w:vAlign w:val="center"/>
          </w:tcPr>
          <w:p>
            <w:pPr>
              <w:spacing w:after="0" w:before="0" w:line="240" w:lineRule="auto"/>
            </w:pPr>
            <w:r>
              <w:rPr>
                <w:b w:val="0"/>
                <w:color w:val="000000"/>
                <w:sz w:val="22"/>
              </w:rPr>
              <w:t>8.6317%</w:t>
            </w:r>
          </w:p>
        </w:tc>
        <w:tc>
          <w:tcPr>
            <w:tcW w:type="dxa" w:w="1872"/>
            <w:vAlign w:val="center"/>
          </w:tcPr>
          <w:p>
            <w:pPr>
              <w:spacing w:after="0" w:before="0" w:line="240" w:lineRule="auto"/>
            </w:pPr>
            <w:r>
              <w:rPr>
                <w:b w:val="0"/>
                <w:color w:val="000000"/>
                <w:sz w:val="22"/>
              </w:rPr>
              <w:t>9.9229%</w:t>
            </w:r>
          </w:p>
        </w:tc>
        <w:tc>
          <w:tcPr>
            <w:tcW w:type="dxa" w:w="1872"/>
            <w:vAlign w:val="center"/>
          </w:tcPr>
          <w:p>
            <w:pPr>
              <w:spacing w:after="0" w:before="0" w:line="240" w:lineRule="auto"/>
            </w:pPr>
            <w:r>
              <w:rPr>
                <w:b w:val="0"/>
                <w:color w:val="000000"/>
                <w:sz w:val="22"/>
              </w:rPr>
              <w:t>1.1470%</w:t>
            </w:r>
          </w:p>
        </w:tc>
        <w:tc>
          <w:tcPr>
            <w:tcW w:type="dxa" w:w="1872"/>
            <w:vAlign w:val="center"/>
          </w:tcPr>
          <w:p>
            <w:pPr>
              <w:spacing w:after="0" w:before="0" w:line="240" w:lineRule="auto"/>
            </w:pPr>
            <w:r>
              <w:rPr>
                <w:b w:val="0"/>
                <w:color w:val="000000"/>
                <w:sz w:val="22"/>
              </w:rPr>
              <w:t>16.6667%</w:t>
            </w:r>
          </w:p>
        </w:tc>
      </w:tr>
      <w:tr>
        <w:trPr>
          <w:cantSplit/>
        </w:trPr>
        <w:tc>
          <w:tcPr>
            <w:tcW w:type="dxa" w:w="1872"/>
            <w:vAlign w:val="center"/>
          </w:tcPr>
          <w:p>
            <w:pPr>
              <w:spacing w:after="0" w:before="0" w:line="240" w:lineRule="auto"/>
            </w:pPr>
            <w:r>
              <w:rPr>
                <w:b w:val="0"/>
                <w:color w:val="000000"/>
                <w:sz w:val="22"/>
              </w:rPr>
              <w:t>BND</w:t>
            </w:r>
          </w:p>
        </w:tc>
        <w:tc>
          <w:tcPr>
            <w:tcW w:type="dxa" w:w="1872"/>
            <w:vAlign w:val="center"/>
          </w:tcPr>
          <w:p>
            <w:pPr>
              <w:spacing w:after="0" w:before="0" w:line="240" w:lineRule="auto"/>
            </w:pPr>
            <w:r>
              <w:rPr>
                <w:b w:val="0"/>
                <w:color w:val="000000"/>
                <w:sz w:val="22"/>
              </w:rPr>
              <w:t>13.3015%</w:t>
            </w:r>
          </w:p>
        </w:tc>
        <w:tc>
          <w:tcPr>
            <w:tcW w:type="dxa" w:w="1872"/>
            <w:vAlign w:val="center"/>
          </w:tcPr>
          <w:p>
            <w:pPr>
              <w:spacing w:after="0" w:before="0" w:line="240" w:lineRule="auto"/>
            </w:pPr>
            <w:r>
              <w:rPr>
                <w:b w:val="0"/>
                <w:color w:val="000000"/>
                <w:sz w:val="22"/>
              </w:rPr>
              <w:t>0.0000%</w:t>
            </w:r>
          </w:p>
        </w:tc>
        <w:tc>
          <w:tcPr>
            <w:tcW w:type="dxa" w:w="1872"/>
            <w:vAlign w:val="center"/>
          </w:tcPr>
          <w:p>
            <w:pPr>
              <w:spacing w:after="0" w:before="0" w:line="240" w:lineRule="auto"/>
            </w:pPr>
            <w:r>
              <w:rPr>
                <w:b w:val="0"/>
                <w:color w:val="000000"/>
                <w:sz w:val="22"/>
              </w:rPr>
              <w:t>85.3469%</w:t>
            </w:r>
          </w:p>
        </w:tc>
        <w:tc>
          <w:tcPr>
            <w:tcW w:type="dxa" w:w="1872"/>
            <w:vAlign w:val="center"/>
          </w:tcPr>
          <w:p>
            <w:pPr>
              <w:spacing w:after="0" w:before="0" w:line="240" w:lineRule="auto"/>
            </w:pPr>
            <w:r>
              <w:rPr>
                <w:b w:val="0"/>
                <w:color w:val="000000"/>
                <w:sz w:val="22"/>
              </w:rPr>
              <w:t>16.6667%</w:t>
            </w:r>
          </w:p>
        </w:tc>
      </w:tr>
    </w:tbl>
    <w:p>
      <w:pPr>
        <w:spacing w:after="0"/>
      </w:pPr>
    </w:p>
    <w:p>
      <w:pPr>
        <w:spacing w:after="140"/>
      </w:pPr>
      <w:r>
        <w:rPr>
          <w:b w:val="0"/>
          <w:i w:val="0"/>
          <w:sz w:val="22"/>
        </w:rPr>
        <w:t>Displayed allocations are rounded. Exact saved JSON values govern every calculation. Initial-cap BND has a tiny positive weight of 9.720788330706766 × 10⁻¹⁸, not an edited zero. The uncapped solution allocates about 85.35% to a BND strategy that is frequently in cash, not to a permanently invested 85.35% passive bond holding.</w:t>
      </w:r>
    </w:p>
    <w:p>
      <w:pPr>
        <w:pStyle w:val="Heading2"/>
      </w:pPr>
      <w:r>
        <w:t>Static initial capital rather than daily rebalancing</w:t>
      </w:r>
    </w:p>
    <w:p>
      <w:pPr>
        <w:spacing w:after="140"/>
      </w:pPr>
      <w:r>
        <w:rPr>
          <w:b w:val="0"/>
          <w:i w:val="0"/>
        </w:rPr>
        <w:t>Let E denote each saved sleeve equity divided by its $1,000 initial balance. Weights are nonnegative and sum to one. Normalized portfolio wealth and its daily return are</w:t>
      </w:r>
    </w:p>
    <w:p>
      <w:pPr>
        <w:spacing w:after="140"/>
      </w:pPr>
      <m:oMath>
        <m:sSub>
          <m:e>
            <m:r>
              <m:t>V</m:t>
            </m:r>
          </m:e>
          <m:sub>
            <m:r>
              <m:t>c,t</m:t>
            </m:r>
          </m:sub>
        </m:sSub>
        <m:r>
          <m:t>=</m:t>
        </m:r>
        <m:nary>
          <m:naryPr>
            <m:chr m:val="∑"/>
            <m:limLoc m:val="subSup"/>
          </m:naryPr>
          <m:sub>
            <m:r>
              <m:t>i=1</m:t>
            </m:r>
          </m:sub>
          <m:sup>
            <m:r>
              <m:t>6</m:t>
            </m:r>
          </m:sup>
          <m:e>
            <m:sSub>
              <m:e>
                <m:r>
                  <m:t>w</m:t>
                </m:r>
              </m:e>
              <m:sub>
                <m:r>
                  <m:t>i</m:t>
                </m:r>
              </m:sub>
            </m:sSub>
            <m:sSub>
              <m:e>
                <m:r>
                  <m:t>E</m:t>
                </m:r>
              </m:e>
              <m:sub>
                <m:r>
                  <m:t>i,c,t</m:t>
                </m:r>
              </m:sub>
            </m:sSub>
          </m:e>
        </m:nary>
      </m:oMath>
      <w:r>
        <w:t xml:space="preserve">    </w:t>
      </w:r>
      <m:oMath>
        <m:sSub>
          <m:e>
            <m:r>
              <m:t>r</m:t>
            </m:r>
          </m:e>
          <m:sub>
            <m:r>
              <m:t>c,t</m:t>
            </m:r>
          </m:sub>
        </m:sSub>
        <m:r>
          <m:t>=</m:t>
        </m:r>
        <m:f>
          <m:num>
            <m:sSub>
              <m:e>
                <m:r>
                  <m:t>V</m:t>
                </m:r>
              </m:e>
              <m:sub>
                <m:r>
                  <m:t>c,t</m:t>
                </m:r>
              </m:sub>
            </m:sSub>
          </m:num>
          <m:den>
            <m:sSub>
              <m:e>
                <m:r>
                  <m:t>V</m:t>
                </m:r>
              </m:e>
              <m:sub>
                <m:r>
                  <m:t>c,t−1</m:t>
                </m:r>
              </m:sub>
            </m:sSub>
          </m:den>
        </m:f>
        <m:r>
          <m:t>−1</m:t>
        </m:r>
      </m:oMath>
    </w:p>
    <w:p>
      <w:pPr>
        <w:spacing w:after="140"/>
      </w:pPr>
      <w:r>
        <w:rPr>
          <w:b w:val="0"/>
          <w:i w:val="0"/>
        </w:rPr>
        <w:t>Each sleeve and the portfolio start at normalized wealth one. Applying constant weights to daily returns would instead impose an unmodeled daily rebalance and produce a different result.</w:t>
      </w:r>
    </w:p>
    <w:p>
      <w:pPr>
        <w:spacing w:after="140"/>
      </w:pPr>
      <w:r>
        <w:rPr>
          <w:b w:val="0"/>
          <w:i w:val="0"/>
        </w:rPr>
        <w:t>The uncapped and initial-only-cap allocations maximize baseline cash-excess Sharpe over the nonnegative unit simplex, with initial weights at most one-third only in the latter. These are numerically best-found solutions, not certified global maxima. The equal-initial comparator starts each sleeve at one-sixth and subsequently drifts; it is not daily equal weighting.</w:t>
      </w:r>
    </w:p>
    <w:p>
      <w:pPr>
        <w:pStyle w:val="Heading2"/>
      </w:pPr>
      <w:r>
        <w:t>Meaning of the daily capital cap</w:t>
      </w:r>
    </w:p>
    <w:p>
      <w:pPr>
        <w:spacing w:after="140"/>
      </w:pPr>
      <w:r>
        <w:rPr>
          <w:b w:val="0"/>
          <w:i w:val="0"/>
        </w:rPr>
        <w:t>The daily-cap fit also limits each sleeve’s share of total portfolio wealth to one-third at every examined OOS daily valuation and all four costs. It selects initial weights satisfying those historical paths; it does not rebalance them. The constraint is on sleeve capital, not underlying ETF holdings, risk contributions, intraday exposure or future outcomes.</w:t>
      </w:r>
    </w:p>
    <w:p>
      <w:pPr>
        <w:pStyle w:val="Heading1"/>
        <w:pageBreakBefore/>
      </w:pPr>
      <w:r>
        <w:t>Capital Cap and Performance Definitions</w:t>
      </w:r>
    </w:p>
    <w:p>
      <w:pPr>
        <w:spacing w:after="140"/>
      </w:pPr>
      <w:r>
        <w:rPr>
          <w:b w:val="0"/>
          <w:i w:val="0"/>
        </w:rPr>
        <w:t>The daily-cap allocation passes the observed one-third share bound in development and historical OOS, but not in validation. At baseline, UNG reaches 35.18% on a path with 41 breach days. Every validation cost has 41 breach days. We retain this finding rather than changing weights, suppressing the period or assuming free rebalance trades.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2160"/>
        <w:gridCol w:w="2016"/>
        <w:gridCol w:w="1728"/>
        <w:gridCol w:w="1728"/>
        <w:gridCol w:w="1728"/>
      </w:tblGrid>
      <w:tr>
        <w:trPr>
          <w:cantSplit/>
          <w:tblHeader/>
        </w:trPr>
        <w:tc>
          <w:tcPr>
            <w:tcW w:type="dxa" w:w="2160"/>
            <w:vAlign w:val="center"/>
            <w:shd w:fill="F2F2F2"/>
          </w:tcPr>
          <w:p>
            <w:pPr>
              <w:spacing w:after="0" w:before="0" w:line="240" w:lineRule="auto"/>
            </w:pPr>
            <w:r>
              <w:rPr>
                <w:b/>
                <w:color w:val="000000"/>
                <w:sz w:val="22"/>
              </w:rPr>
              <w:t>Period</w:t>
            </w:r>
          </w:p>
        </w:tc>
        <w:tc>
          <w:tcPr>
            <w:tcW w:type="dxa" w:w="2016"/>
            <w:vAlign w:val="center"/>
            <w:shd w:fill="F2F2F2"/>
          </w:tcPr>
          <w:p>
            <w:pPr>
              <w:spacing w:after="0" w:before="0" w:line="240" w:lineRule="auto"/>
            </w:pPr>
            <w:r>
              <w:rPr>
                <w:b/>
                <w:color w:val="000000"/>
                <w:sz w:val="22"/>
              </w:rPr>
              <w:t>Maximum share at 1 bp</w:t>
            </w:r>
          </w:p>
        </w:tc>
        <w:tc>
          <w:tcPr>
            <w:tcW w:type="dxa" w:w="1728"/>
            <w:vAlign w:val="center"/>
            <w:shd w:fill="F2F2F2"/>
          </w:tcPr>
          <w:p>
            <w:pPr>
              <w:spacing w:after="0" w:before="0" w:line="240" w:lineRule="auto"/>
            </w:pPr>
            <w:r>
              <w:rPr>
                <w:b/>
                <w:color w:val="000000"/>
                <w:sz w:val="22"/>
              </w:rPr>
              <w:t>At 3 bp</w:t>
            </w:r>
          </w:p>
        </w:tc>
        <w:tc>
          <w:tcPr>
            <w:tcW w:type="dxa" w:w="1728"/>
            <w:vAlign w:val="center"/>
            <w:shd w:fill="F2F2F2"/>
          </w:tcPr>
          <w:p>
            <w:pPr>
              <w:spacing w:after="0" w:before="0" w:line="240" w:lineRule="auto"/>
            </w:pPr>
            <w:r>
              <w:rPr>
                <w:b/>
                <w:color w:val="000000"/>
                <w:sz w:val="22"/>
              </w:rPr>
              <w:t>At 10 bp</w:t>
            </w:r>
          </w:p>
        </w:tc>
        <w:tc>
          <w:tcPr>
            <w:tcW w:type="dxa" w:w="1728"/>
            <w:vAlign w:val="center"/>
            <w:shd w:fill="F2F2F2"/>
          </w:tcPr>
          <w:p>
            <w:pPr>
              <w:spacing w:after="0" w:before="0" w:line="240" w:lineRule="auto"/>
            </w:pPr>
            <w:r>
              <w:rPr>
                <w:b/>
                <w:color w:val="000000"/>
                <w:sz w:val="22"/>
              </w:rPr>
              <w:t>At 25 bp</w:t>
            </w:r>
          </w:p>
        </w:tc>
      </w:tr>
      <w:tr>
        <w:trPr>
          <w:cantSplit/>
        </w:trPr>
        <w:tc>
          <w:tcPr>
            <w:tcW w:type="dxa" w:w="2160"/>
            <w:vAlign w:val="center"/>
          </w:tcPr>
          <w:p>
            <w:pPr>
              <w:spacing w:after="0" w:before="0" w:line="240" w:lineRule="auto"/>
            </w:pPr>
            <w:r>
              <w:rPr>
                <w:b w:val="0"/>
                <w:color w:val="000000"/>
                <w:sz w:val="22"/>
              </w:rPr>
              <w:t>Development</w:t>
            </w:r>
          </w:p>
        </w:tc>
        <w:tc>
          <w:tcPr>
            <w:tcW w:type="dxa" w:w="2016"/>
            <w:vAlign w:val="center"/>
          </w:tcPr>
          <w:p>
            <w:pPr>
              <w:spacing w:after="0" w:before="0" w:line="240" w:lineRule="auto"/>
            </w:pPr>
            <w:r>
              <w:rPr>
                <w:b w:val="0"/>
                <w:color w:val="000000"/>
                <w:sz w:val="22"/>
              </w:rPr>
              <w:t>26.80%</w:t>
            </w:r>
          </w:p>
        </w:tc>
        <w:tc>
          <w:tcPr>
            <w:tcW w:type="dxa" w:w="1728"/>
            <w:vAlign w:val="center"/>
          </w:tcPr>
          <w:p>
            <w:pPr>
              <w:spacing w:after="0" w:before="0" w:line="240" w:lineRule="auto"/>
            </w:pPr>
            <w:r>
              <w:rPr>
                <w:b w:val="0"/>
                <w:color w:val="000000"/>
                <w:sz w:val="22"/>
              </w:rPr>
              <w:t>26.80%</w:t>
            </w:r>
          </w:p>
        </w:tc>
        <w:tc>
          <w:tcPr>
            <w:tcW w:type="dxa" w:w="1728"/>
            <w:vAlign w:val="center"/>
          </w:tcPr>
          <w:p>
            <w:pPr>
              <w:spacing w:after="0" w:before="0" w:line="240" w:lineRule="auto"/>
            </w:pPr>
            <w:r>
              <w:rPr>
                <w:b w:val="0"/>
                <w:color w:val="000000"/>
                <w:sz w:val="22"/>
              </w:rPr>
              <w:t>26.80%</w:t>
            </w:r>
          </w:p>
        </w:tc>
        <w:tc>
          <w:tcPr>
            <w:tcW w:type="dxa" w:w="1728"/>
            <w:vAlign w:val="center"/>
          </w:tcPr>
          <w:p>
            <w:pPr>
              <w:spacing w:after="0" w:before="0" w:line="240" w:lineRule="auto"/>
            </w:pPr>
            <w:r>
              <w:rPr>
                <w:b w:val="0"/>
                <w:color w:val="000000"/>
                <w:sz w:val="22"/>
              </w:rPr>
              <w:t>26.80%</w:t>
            </w:r>
          </w:p>
        </w:tc>
      </w:tr>
      <w:tr>
        <w:trPr>
          <w:cantSplit/>
        </w:trPr>
        <w:tc>
          <w:tcPr>
            <w:tcW w:type="dxa" w:w="2160"/>
            <w:vAlign w:val="center"/>
          </w:tcPr>
          <w:p>
            <w:pPr>
              <w:spacing w:after="0" w:before="0" w:line="240" w:lineRule="auto"/>
            </w:pPr>
            <w:r>
              <w:rPr>
                <w:b w:val="0"/>
                <w:color w:val="000000"/>
                <w:sz w:val="22"/>
              </w:rPr>
              <w:t>Validation</w:t>
            </w:r>
          </w:p>
        </w:tc>
        <w:tc>
          <w:tcPr>
            <w:tcW w:type="dxa" w:w="2016"/>
            <w:vAlign w:val="center"/>
          </w:tcPr>
          <w:p>
            <w:pPr>
              <w:spacing w:after="0" w:before="0" w:line="240" w:lineRule="auto"/>
            </w:pPr>
            <w:r>
              <w:rPr>
                <w:b w:val="0"/>
                <w:color w:val="000000"/>
                <w:sz w:val="22"/>
              </w:rPr>
              <w:t>35.16%</w:t>
            </w:r>
          </w:p>
        </w:tc>
        <w:tc>
          <w:tcPr>
            <w:tcW w:type="dxa" w:w="1728"/>
            <w:vAlign w:val="center"/>
          </w:tcPr>
          <w:p>
            <w:pPr>
              <w:spacing w:after="0" w:before="0" w:line="240" w:lineRule="auto"/>
            </w:pPr>
            <w:r>
              <w:rPr>
                <w:b w:val="0"/>
                <w:color w:val="000000"/>
                <w:sz w:val="22"/>
              </w:rPr>
              <w:t>35.18%</w:t>
            </w:r>
          </w:p>
        </w:tc>
        <w:tc>
          <w:tcPr>
            <w:tcW w:type="dxa" w:w="1728"/>
            <w:vAlign w:val="center"/>
          </w:tcPr>
          <w:p>
            <w:pPr>
              <w:spacing w:after="0" w:before="0" w:line="240" w:lineRule="auto"/>
            </w:pPr>
            <w:r>
              <w:rPr>
                <w:b w:val="0"/>
                <w:color w:val="000000"/>
                <w:sz w:val="22"/>
              </w:rPr>
              <w:t>35.28%</w:t>
            </w:r>
          </w:p>
        </w:tc>
        <w:tc>
          <w:tcPr>
            <w:tcW w:type="dxa" w:w="1728"/>
            <w:vAlign w:val="center"/>
          </w:tcPr>
          <w:p>
            <w:pPr>
              <w:spacing w:after="0" w:before="0" w:line="240" w:lineRule="auto"/>
            </w:pPr>
            <w:r>
              <w:rPr>
                <w:b w:val="0"/>
                <w:color w:val="000000"/>
                <w:sz w:val="22"/>
              </w:rPr>
              <w:t>35.48%</w:t>
            </w:r>
          </w:p>
        </w:tc>
      </w:tr>
      <w:tr>
        <w:trPr>
          <w:cantSplit/>
        </w:trPr>
        <w:tc>
          <w:tcPr>
            <w:tcW w:type="dxa" w:w="2160"/>
            <w:vAlign w:val="center"/>
          </w:tcPr>
          <w:p>
            <w:pPr>
              <w:spacing w:after="0" w:before="0" w:line="240" w:lineRule="auto"/>
            </w:pPr>
            <w:r>
              <w:rPr>
                <w:b w:val="0"/>
                <w:color w:val="000000"/>
                <w:sz w:val="22"/>
              </w:rPr>
              <w:t>Historical OOS</w:t>
            </w:r>
          </w:p>
        </w:tc>
        <w:tc>
          <w:tcPr>
            <w:tcW w:type="dxa" w:w="2016"/>
            <w:vAlign w:val="center"/>
          </w:tcPr>
          <w:p>
            <w:pPr>
              <w:spacing w:after="0" w:before="0" w:line="240" w:lineRule="auto"/>
            </w:pPr>
            <w:r>
              <w:rPr>
                <w:b w:val="0"/>
                <w:color w:val="000000"/>
                <w:sz w:val="22"/>
              </w:rPr>
              <w:t>33.33%</w:t>
            </w:r>
          </w:p>
        </w:tc>
        <w:tc>
          <w:tcPr>
            <w:tcW w:type="dxa" w:w="1728"/>
            <w:vAlign w:val="center"/>
          </w:tcPr>
          <w:p>
            <w:pPr>
              <w:spacing w:after="0" w:before="0" w:line="240" w:lineRule="auto"/>
            </w:pPr>
            <w:r>
              <w:rPr>
                <w:b w:val="0"/>
                <w:color w:val="000000"/>
                <w:sz w:val="22"/>
              </w:rPr>
              <w:t>33.27%</w:t>
            </w:r>
          </w:p>
        </w:tc>
        <w:tc>
          <w:tcPr>
            <w:tcW w:type="dxa" w:w="1728"/>
            <w:vAlign w:val="center"/>
          </w:tcPr>
          <w:p>
            <w:pPr>
              <w:spacing w:after="0" w:before="0" w:line="240" w:lineRule="auto"/>
            </w:pPr>
            <w:r>
              <w:rPr>
                <w:b w:val="0"/>
                <w:color w:val="000000"/>
                <w:sz w:val="22"/>
              </w:rPr>
              <w:t>33.05%</w:t>
            </w:r>
          </w:p>
        </w:tc>
        <w:tc>
          <w:tcPr>
            <w:tcW w:type="dxa" w:w="1728"/>
            <w:vAlign w:val="center"/>
          </w:tcPr>
          <w:p>
            <w:pPr>
              <w:spacing w:after="0" w:before="0" w:line="240" w:lineRule="auto"/>
            </w:pPr>
            <w:r>
              <w:rPr>
                <w:b w:val="0"/>
                <w:color w:val="000000"/>
                <w:sz w:val="22"/>
              </w:rPr>
              <w:t>32.57%</w:t>
            </w:r>
          </w:p>
        </w:tc>
      </w:tr>
    </w:tbl>
    <w:p>
      <w:pPr>
        <w:spacing w:after="0"/>
      </w:pPr>
    </w:p>
    <w:p>
      <w:pPr>
        <w:pStyle w:val="Heading1"/>
      </w:pPr>
      <w:r>
        <w:t>7 Performance Evaluation</w:t>
      </w:r>
    </w:p>
    <w:p>
      <w:pPr>
        <w:spacing w:after="140"/>
      </w:pPr>
      <w:r>
        <w:rPr>
          <w:b w:val="0"/>
          <w:i w:val="0"/>
        </w:rPr>
        <w:t>All performance is net of the modeled commissions and slippage. We report the original three windows separately, never splice them into a continuous account or carry holdings across stage boundaries. QQQ buy-and-hold is the passive benchmark, not the active QQQ sleeve. Cash is a second matched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2232"/>
        <w:gridCol w:w="7128"/>
      </w:tblGrid>
      <w:tr>
        <w:trPr>
          <w:cantSplit/>
          <w:tblHeader/>
        </w:trPr>
        <w:tc>
          <w:tcPr>
            <w:tcW w:type="dxa" w:w="2232"/>
            <w:vAlign w:val="center"/>
            <w:shd w:fill="F2F2F2"/>
          </w:tcPr>
          <w:p>
            <w:pPr>
              <w:spacing w:after="0" w:before="0" w:line="240" w:lineRule="auto"/>
            </w:pPr>
            <w:r>
              <w:rPr>
                <w:b/>
                <w:color w:val="000000"/>
                <w:sz w:val="22"/>
              </w:rPr>
              <w:t>Statistic</w:t>
            </w:r>
          </w:p>
        </w:tc>
        <w:tc>
          <w:tcPr>
            <w:tcW w:type="dxa" w:w="7128"/>
            <w:vAlign w:val="center"/>
            <w:shd w:fill="F2F2F2"/>
          </w:tcPr>
          <w:p>
            <w:pPr>
              <w:spacing w:after="0" w:before="0" w:line="240" w:lineRule="auto"/>
            </w:pPr>
            <w:r>
              <w:rPr>
                <w:b/>
                <w:color w:val="000000"/>
                <w:sz w:val="22"/>
              </w:rPr>
              <w:t>Definition</w:t>
            </w:r>
          </w:p>
        </w:tc>
      </w:tr>
      <w:tr>
        <w:trPr>
          <w:cantSplit/>
        </w:trPr>
        <w:tc>
          <w:tcPr>
            <w:tcW w:type="dxa" w:w="2232"/>
            <w:vAlign w:val="center"/>
          </w:tcPr>
          <w:p>
            <w:pPr>
              <w:spacing w:after="0" w:before="0" w:line="240" w:lineRule="auto"/>
            </w:pPr>
            <w:r>
              <w:rPr>
                <w:b w:val="0"/>
                <w:color w:val="000000"/>
                <w:sz w:val="22"/>
              </w:rPr>
              <w:t>Total return</w:t>
            </w:r>
          </w:p>
        </w:tc>
        <w:tc>
          <w:tcPr>
            <w:tcW w:type="dxa" w:w="7128"/>
            <w:vAlign w:val="center"/>
          </w:tcPr>
          <w:p>
            <w:pPr>
              <w:spacing w:after="0" w:before="0" w:line="240" w:lineRule="auto"/>
            </w:pPr>
            <w:r>
              <w:rPr>
                <w:b w:val="0"/>
                <w:color w:val="000000"/>
                <w:sz w:val="22"/>
              </w:rPr>
              <w:t>Terminal wealth / initial wealth − 1</w:t>
            </w:r>
          </w:p>
        </w:tc>
      </w:tr>
      <w:tr>
        <w:trPr>
          <w:cantSplit/>
        </w:trPr>
        <w:tc>
          <w:tcPr>
            <w:tcW w:type="dxa" w:w="2232"/>
            <w:vAlign w:val="center"/>
          </w:tcPr>
          <w:p>
            <w:pPr>
              <w:spacing w:after="0" w:before="0" w:line="240" w:lineRule="auto"/>
            </w:pPr>
            <w:r>
              <w:rPr>
                <w:b w:val="0"/>
                <w:color w:val="000000"/>
                <w:sz w:val="22"/>
              </w:rPr>
              <w:t>CAGR</w:t>
            </w:r>
          </w:p>
        </w:tc>
        <w:tc>
          <w:tcPr>
            <w:tcW w:type="dxa" w:w="7128"/>
            <w:vAlign w:val="center"/>
          </w:tcPr>
          <w:p>
            <w:pPr>
              <w:spacing w:after="0" w:before="0" w:line="240" w:lineRule="auto"/>
            </w:pPr>
            <w:r>
              <w:rPr>
                <w:b w:val="0"/>
                <w:color w:val="000000"/>
                <w:sz w:val="22"/>
              </w:rPr>
              <w:t>Terminal wealth divided by initial wealth, raised to the reciprocal of elapsed ACT365 years, minus one</w:t>
            </w:r>
          </w:p>
        </w:tc>
      </w:tr>
      <w:tr>
        <w:trPr>
          <w:cantSplit/>
        </w:trPr>
        <w:tc>
          <w:tcPr>
            <w:tcW w:type="dxa" w:w="2232"/>
            <w:vAlign w:val="center"/>
          </w:tcPr>
          <w:p>
            <w:pPr>
              <w:spacing w:after="0" w:before="0" w:line="240" w:lineRule="auto"/>
            </w:pPr>
            <w:r>
              <w:rPr>
                <w:b w:val="0"/>
                <w:color w:val="000000"/>
                <w:sz w:val="22"/>
              </w:rPr>
              <w:t>Return volatility</w:t>
            </w:r>
          </w:p>
        </w:tc>
        <w:tc>
          <w:tcPr>
            <w:tcW w:type="dxa" w:w="7128"/>
            <w:vAlign w:val="center"/>
          </w:tcPr>
          <w:p>
            <w:pPr>
              <w:spacing w:after="0" w:before="0" w:line="240" w:lineRule="auto"/>
            </w:pPr>
            <w:r>
              <w:rPr>
                <w:b w:val="0"/>
                <w:color w:val="000000"/>
                <w:sz w:val="22"/>
              </w:rPr>
              <w:t>√252 × sample standard deviation of daily net returns</w:t>
            </w:r>
          </w:p>
        </w:tc>
      </w:tr>
      <w:tr>
        <w:trPr>
          <w:cantSplit/>
        </w:trPr>
        <w:tc>
          <w:tcPr>
            <w:tcW w:type="dxa" w:w="2232"/>
            <w:vAlign w:val="center"/>
          </w:tcPr>
          <w:p>
            <w:pPr>
              <w:spacing w:after="0" w:before="0" w:line="240" w:lineRule="auto"/>
            </w:pPr>
            <w:r>
              <w:rPr>
                <w:b w:val="0"/>
                <w:color w:val="000000"/>
                <w:sz w:val="22"/>
              </w:rPr>
              <w:t>Cash excess Sharpe</w:t>
            </w:r>
          </w:p>
        </w:tc>
        <w:tc>
          <w:tcPr>
            <w:tcW w:type="dxa" w:w="7128"/>
            <w:vAlign w:val="center"/>
          </w:tcPr>
          <w:p>
            <w:pPr>
              <w:spacing w:after="0" w:before="0" w:line="240" w:lineRule="auto"/>
            </w:pPr>
            <w:r>
              <w:rPr>
                <w:b w:val="0"/>
                <w:color w:val="000000"/>
                <w:sz w:val="22"/>
              </w:rPr>
              <w:t>√252 × mean(r − matched cash) / sample SD(r − matched cash)</w:t>
            </w:r>
          </w:p>
        </w:tc>
      </w:tr>
      <w:tr>
        <w:trPr>
          <w:cantSplit/>
        </w:trPr>
        <w:tc>
          <w:tcPr>
            <w:tcW w:type="dxa" w:w="2232"/>
            <w:vAlign w:val="center"/>
          </w:tcPr>
          <w:p>
            <w:pPr>
              <w:spacing w:after="0" w:before="0" w:line="240" w:lineRule="auto"/>
            </w:pPr>
            <w:r>
              <w:rPr>
                <w:b w:val="0"/>
                <w:color w:val="000000"/>
                <w:sz w:val="22"/>
              </w:rPr>
              <w:t>Maximum drawdown</w:t>
            </w:r>
          </w:p>
        </w:tc>
        <w:tc>
          <w:tcPr>
            <w:tcW w:type="dxa" w:w="7128"/>
            <w:vAlign w:val="center"/>
          </w:tcPr>
          <w:p>
            <w:pPr>
              <w:spacing w:after="0" w:before="0" w:line="240" w:lineRule="auto"/>
            </w:pPr>
            <w:r>
              <w:rPr>
                <w:b w:val="0"/>
                <w:color w:val="000000"/>
                <w:sz w:val="22"/>
              </w:rPr>
              <w:t>Minimum of Vt / running maximum(V0 … Vt) − 1, including initial balance</w:t>
            </w:r>
          </w:p>
        </w:tc>
      </w:tr>
      <w:tr>
        <w:trPr>
          <w:cantSplit/>
        </w:trPr>
        <w:tc>
          <w:tcPr>
            <w:tcW w:type="dxa" w:w="2232"/>
            <w:vAlign w:val="center"/>
          </w:tcPr>
          <w:p>
            <w:pPr>
              <w:spacing w:after="0" w:before="0" w:line="240" w:lineRule="auto"/>
            </w:pPr>
            <w:r>
              <w:rPr>
                <w:b w:val="0"/>
                <w:color w:val="000000"/>
                <w:sz w:val="22"/>
              </w:rPr>
              <w:t>Alpha and beta</w:t>
            </w:r>
          </w:p>
        </w:tc>
        <w:tc>
          <w:tcPr>
            <w:tcW w:type="dxa" w:w="7128"/>
            <w:vAlign w:val="center"/>
          </w:tcPr>
          <w:p>
            <w:pPr>
              <w:spacing w:after="0" w:before="0" w:line="240" w:lineRule="auto"/>
            </w:pPr>
            <w:r>
              <w:rPr>
                <w:b w:val="0"/>
                <w:color w:val="000000"/>
                <w:sz w:val="22"/>
              </w:rPr>
              <w:t>Intercept and slope(s) from daily cash-excess-return OLS; annual alpha = 252 × daily intercept</w:t>
            </w:r>
          </w:p>
        </w:tc>
      </w:tr>
    </w:tbl>
    <w:p>
      <w:pPr>
        <w:spacing w:after="0"/>
      </w:pPr>
    </w:p>
    <w:p>
      <w:pPr>
        <w:spacing w:after="140"/>
      </w:pPr>
      <w:r>
        <w:rPr>
          <w:b w:val="0"/>
          <w:i w:val="0"/>
        </w:rPr>
        <w:t>Volatility and Sharpe use sample standard deviations with denominator N−1 (ddof=1). Cash’s cash-excess Sharpe is undefined, not zero. Drawdown is daily, not intraday. The square-root-of-252 Sharpe is a descriptive convention, not a serial-correlation-adjusted significance statistic. Sharpe’s differential-return framework [2] motivates the cash benchmark; Lo [3] explains why sampling error and time dependence matter for inference.</w:t>
      </w:r>
    </w:p>
    <w:p>
      <w:pPr>
        <w:spacing w:after="140"/>
      </w:pPr>
      <w:r>
        <w:rPr>
          <w:b w:val="0"/>
          <w:i w:val="0"/>
        </w:rPr>
        <w:t>The all-cost tables in Appendix A report CAGR, return volatility, cash-excess Sharpe, drawdown and QQQ-relative alpha/beta. The supplement retains all 48 portfolio outcomes, 24 controls and 48 cap diagnostics at full precision. Values in the report are rounded only for display.</w:t>
      </w:r>
    </w:p>
    <w:p>
      <w:pPr>
        <w:pStyle w:val="Heading1"/>
        <w:pageBreakBefore/>
      </w:pPr>
      <w:r>
        <w:t>Baseline Performance Across Three Periods</w:t>
      </w:r>
    </w:p>
    <w:p>
      <w:pPr>
        <w:pStyle w:val="Heading2"/>
      </w:pPr>
      <w:r>
        <w:t>Development 2017 to 2020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2016"/>
        <w:gridCol w:w="1512"/>
        <w:gridCol w:w="1440"/>
        <w:gridCol w:w="1512"/>
        <w:gridCol w:w="1296"/>
        <w:gridCol w:w="1584"/>
      </w:tblGrid>
      <w:tr>
        <w:trPr>
          <w:cantSplit/>
          <w:tblHeader/>
        </w:trPr>
        <w:tc>
          <w:tcPr>
            <w:tcW w:type="dxa" w:w="2016"/>
            <w:vAlign w:val="center"/>
            <w:shd w:fill="F2F2F2"/>
          </w:tcPr>
          <w:p>
            <w:pPr>
              <w:spacing w:after="0" w:before="0" w:line="240" w:lineRule="auto"/>
            </w:pPr>
            <w:r>
              <w:rPr>
                <w:b/>
                <w:color w:val="000000"/>
                <w:sz w:val="21"/>
              </w:rPr>
              <w:t>Portfolio</w:t>
            </w:r>
          </w:p>
        </w:tc>
        <w:tc>
          <w:tcPr>
            <w:tcW w:type="dxa" w:w="1512"/>
            <w:vAlign w:val="center"/>
            <w:shd w:fill="F2F2F2"/>
          </w:tcPr>
          <w:p>
            <w:pPr>
              <w:spacing w:after="0" w:before="0" w:line="240" w:lineRule="auto"/>
            </w:pPr>
            <w:r>
              <w:rPr>
                <w:b/>
                <w:color w:val="000000"/>
                <w:sz w:val="21"/>
              </w:rPr>
              <w:t>Total return</w:t>
            </w:r>
          </w:p>
        </w:tc>
        <w:tc>
          <w:tcPr>
            <w:tcW w:type="dxa" w:w="1440"/>
            <w:vAlign w:val="center"/>
            <w:shd w:fill="F2F2F2"/>
          </w:tcPr>
          <w:p>
            <w:pPr>
              <w:spacing w:after="0" w:before="0" w:line="240" w:lineRule="auto"/>
            </w:pPr>
            <w:r>
              <w:rPr>
                <w:b/>
                <w:color w:val="000000"/>
                <w:sz w:val="21"/>
              </w:rPr>
              <w:t>CAGR</w:t>
            </w:r>
          </w:p>
        </w:tc>
        <w:tc>
          <w:tcPr>
            <w:tcW w:type="dxa" w:w="1512"/>
            <w:vAlign w:val="center"/>
            <w:shd w:fill="F2F2F2"/>
          </w:tcPr>
          <w:p>
            <w:pPr>
              <w:spacing w:after="0" w:before="0" w:line="240" w:lineRule="auto"/>
            </w:pPr>
            <w:r>
              <w:rPr>
                <w:b/>
                <w:color w:val="000000"/>
                <w:sz w:val="21"/>
              </w:rPr>
              <w:t>Volatility</w:t>
            </w:r>
          </w:p>
        </w:tc>
        <w:tc>
          <w:tcPr>
            <w:tcW w:type="dxa" w:w="1296"/>
            <w:vAlign w:val="center"/>
            <w:shd w:fill="F2F2F2"/>
          </w:tcPr>
          <w:p>
            <w:pPr>
              <w:spacing w:after="0" w:before="0" w:line="240" w:lineRule="auto"/>
            </w:pPr>
            <w:r>
              <w:rPr>
                <w:b/>
                <w:color w:val="000000"/>
                <w:sz w:val="21"/>
              </w:rPr>
              <w:t>Sharpe</w:t>
            </w:r>
          </w:p>
        </w:tc>
        <w:tc>
          <w:tcPr>
            <w:tcW w:type="dxa" w:w="1584"/>
            <w:vAlign w:val="center"/>
            <w:shd w:fill="F2F2F2"/>
          </w:tcPr>
          <w:p>
            <w:pPr>
              <w:spacing w:after="0" w:before="0" w:line="240" w:lineRule="auto"/>
            </w:pPr>
            <w:r>
              <w:rPr>
                <w:b/>
                <w:color w:val="000000"/>
                <w:sz w:val="21"/>
              </w:rPr>
              <w:t>Max DD</w:t>
            </w:r>
          </w:p>
        </w:tc>
      </w:tr>
      <w:tr>
        <w:trPr>
          <w:cantSplit/>
        </w:trPr>
        <w:tc>
          <w:tcPr>
            <w:tcW w:type="dxa" w:w="2016"/>
            <w:vAlign w:val="center"/>
          </w:tcPr>
          <w:p>
            <w:pPr>
              <w:spacing w:after="0" w:before="0" w:line="240" w:lineRule="auto"/>
            </w:pPr>
            <w:r>
              <w:rPr>
                <w:b w:val="0"/>
                <w:color w:val="000000"/>
                <w:sz w:val="21"/>
              </w:rPr>
              <w:t>Daily cap</w:t>
            </w:r>
          </w:p>
        </w:tc>
        <w:tc>
          <w:tcPr>
            <w:tcW w:type="dxa" w:w="1512"/>
            <w:vAlign w:val="center"/>
          </w:tcPr>
          <w:p>
            <w:pPr>
              <w:spacing w:after="0" w:before="0" w:line="240" w:lineRule="auto"/>
            </w:pPr>
            <w:r>
              <w:rPr>
                <w:b w:val="0"/>
                <w:color w:val="000000"/>
                <w:sz w:val="21"/>
              </w:rPr>
              <w:t>73.40%</w:t>
            </w:r>
          </w:p>
        </w:tc>
        <w:tc>
          <w:tcPr>
            <w:tcW w:type="dxa" w:w="1440"/>
            <w:vAlign w:val="center"/>
          </w:tcPr>
          <w:p>
            <w:pPr>
              <w:spacing w:after="0" w:before="0" w:line="240" w:lineRule="auto"/>
            </w:pPr>
            <w:r>
              <w:rPr>
                <w:b w:val="0"/>
                <w:color w:val="000000"/>
                <w:sz w:val="21"/>
              </w:rPr>
              <w:t>14.77%</w:t>
            </w:r>
          </w:p>
        </w:tc>
        <w:tc>
          <w:tcPr>
            <w:tcW w:type="dxa" w:w="1512"/>
            <w:vAlign w:val="center"/>
          </w:tcPr>
          <w:p>
            <w:pPr>
              <w:spacing w:after="0" w:before="0" w:line="240" w:lineRule="auto"/>
            </w:pPr>
            <w:r>
              <w:rPr>
                <w:b w:val="0"/>
                <w:color w:val="000000"/>
                <w:sz w:val="21"/>
              </w:rPr>
              <w:t>8.43%</w:t>
            </w:r>
          </w:p>
        </w:tc>
        <w:tc>
          <w:tcPr>
            <w:tcW w:type="dxa" w:w="1296"/>
            <w:vAlign w:val="center"/>
          </w:tcPr>
          <w:p>
            <w:pPr>
              <w:spacing w:after="0" w:before="0" w:line="240" w:lineRule="auto"/>
            </w:pPr>
            <w:r>
              <w:rPr>
                <w:b w:val="0"/>
                <w:color w:val="000000"/>
                <w:sz w:val="21"/>
              </w:rPr>
              <w:t>1.321</w:t>
            </w:r>
          </w:p>
        </w:tc>
        <w:tc>
          <w:tcPr>
            <w:tcW w:type="dxa" w:w="1584"/>
            <w:vAlign w:val="center"/>
          </w:tcPr>
          <w:p>
            <w:pPr>
              <w:spacing w:after="0" w:before="0" w:line="240" w:lineRule="auto"/>
            </w:pPr>
            <w:r>
              <w:rPr>
                <w:b w:val="0"/>
                <w:color w:val="000000"/>
                <w:sz w:val="21"/>
              </w:rPr>
              <w:t>-7.52%</w:t>
            </w:r>
          </w:p>
        </w:tc>
      </w:tr>
      <w:tr>
        <w:trPr>
          <w:cantSplit/>
        </w:trPr>
        <w:tc>
          <w:tcPr>
            <w:tcW w:type="dxa" w:w="2016"/>
            <w:vAlign w:val="center"/>
          </w:tcPr>
          <w:p>
            <w:pPr>
              <w:spacing w:after="0" w:before="0" w:line="240" w:lineRule="auto"/>
            </w:pPr>
            <w:r>
              <w:rPr>
                <w:b w:val="0"/>
                <w:color w:val="000000"/>
                <w:sz w:val="21"/>
              </w:rPr>
              <w:t>Initial cap</w:t>
            </w:r>
          </w:p>
        </w:tc>
        <w:tc>
          <w:tcPr>
            <w:tcW w:type="dxa" w:w="1512"/>
            <w:vAlign w:val="center"/>
          </w:tcPr>
          <w:p>
            <w:pPr>
              <w:spacing w:after="0" w:before="0" w:line="240" w:lineRule="auto"/>
            </w:pPr>
            <w:r>
              <w:rPr>
                <w:b w:val="0"/>
                <w:color w:val="000000"/>
                <w:sz w:val="21"/>
              </w:rPr>
              <w:t>81.81%</w:t>
            </w:r>
          </w:p>
        </w:tc>
        <w:tc>
          <w:tcPr>
            <w:tcW w:type="dxa" w:w="1440"/>
            <w:vAlign w:val="center"/>
          </w:tcPr>
          <w:p>
            <w:pPr>
              <w:spacing w:after="0" w:before="0" w:line="240" w:lineRule="auto"/>
            </w:pPr>
            <w:r>
              <w:rPr>
                <w:b w:val="0"/>
                <w:color w:val="000000"/>
                <w:sz w:val="21"/>
              </w:rPr>
              <w:t>16.14%</w:t>
            </w:r>
          </w:p>
        </w:tc>
        <w:tc>
          <w:tcPr>
            <w:tcW w:type="dxa" w:w="1512"/>
            <w:vAlign w:val="center"/>
          </w:tcPr>
          <w:p>
            <w:pPr>
              <w:spacing w:after="0" w:before="0" w:line="240" w:lineRule="auto"/>
            </w:pPr>
            <w:r>
              <w:rPr>
                <w:b w:val="0"/>
                <w:color w:val="000000"/>
                <w:sz w:val="21"/>
              </w:rPr>
              <w:t>9.60%</w:t>
            </w:r>
          </w:p>
        </w:tc>
        <w:tc>
          <w:tcPr>
            <w:tcW w:type="dxa" w:w="1296"/>
            <w:vAlign w:val="center"/>
          </w:tcPr>
          <w:p>
            <w:pPr>
              <w:spacing w:after="0" w:before="0" w:line="240" w:lineRule="auto"/>
            </w:pPr>
            <w:r>
              <w:rPr>
                <w:b w:val="0"/>
                <w:color w:val="000000"/>
                <w:sz w:val="21"/>
              </w:rPr>
              <w:t>1.295</w:t>
            </w:r>
          </w:p>
        </w:tc>
        <w:tc>
          <w:tcPr>
            <w:tcW w:type="dxa" w:w="1584"/>
            <w:vAlign w:val="center"/>
          </w:tcPr>
          <w:p>
            <w:pPr>
              <w:spacing w:after="0" w:before="0" w:line="240" w:lineRule="auto"/>
            </w:pPr>
            <w:r>
              <w:rPr>
                <w:b w:val="0"/>
                <w:color w:val="000000"/>
                <w:sz w:val="21"/>
              </w:rPr>
              <w:t>-8.48%</w:t>
            </w:r>
          </w:p>
        </w:tc>
      </w:tr>
      <w:tr>
        <w:trPr>
          <w:cantSplit/>
        </w:trPr>
        <w:tc>
          <w:tcPr>
            <w:tcW w:type="dxa" w:w="2016"/>
            <w:vAlign w:val="center"/>
          </w:tcPr>
          <w:p>
            <w:pPr>
              <w:spacing w:after="0" w:before="0" w:line="240" w:lineRule="auto"/>
            </w:pPr>
            <w:r>
              <w:rPr>
                <w:b w:val="0"/>
                <w:color w:val="000000"/>
                <w:sz w:val="21"/>
              </w:rPr>
              <w:t>Uncapped</w:t>
            </w:r>
          </w:p>
        </w:tc>
        <w:tc>
          <w:tcPr>
            <w:tcW w:type="dxa" w:w="1512"/>
            <w:vAlign w:val="center"/>
          </w:tcPr>
          <w:p>
            <w:pPr>
              <w:spacing w:after="0" w:before="0" w:line="240" w:lineRule="auto"/>
            </w:pPr>
            <w:r>
              <w:rPr>
                <w:b w:val="0"/>
                <w:color w:val="000000"/>
                <w:sz w:val="21"/>
              </w:rPr>
              <w:t>27.24%</w:t>
            </w:r>
          </w:p>
        </w:tc>
        <w:tc>
          <w:tcPr>
            <w:tcW w:type="dxa" w:w="1440"/>
            <w:vAlign w:val="center"/>
          </w:tcPr>
          <w:p>
            <w:pPr>
              <w:spacing w:after="0" w:before="0" w:line="240" w:lineRule="auto"/>
            </w:pPr>
            <w:r>
              <w:rPr>
                <w:b w:val="0"/>
                <w:color w:val="000000"/>
                <w:sz w:val="21"/>
              </w:rPr>
              <w:t>6.21%</w:t>
            </w:r>
          </w:p>
        </w:tc>
        <w:tc>
          <w:tcPr>
            <w:tcW w:type="dxa" w:w="1512"/>
            <w:vAlign w:val="center"/>
          </w:tcPr>
          <w:p>
            <w:pPr>
              <w:spacing w:after="0" w:before="0" w:line="240" w:lineRule="auto"/>
            </w:pPr>
            <w:r>
              <w:rPr>
                <w:b w:val="0"/>
                <w:color w:val="000000"/>
                <w:sz w:val="21"/>
              </w:rPr>
              <w:t>2.32%</w:t>
            </w:r>
          </w:p>
        </w:tc>
        <w:tc>
          <w:tcPr>
            <w:tcW w:type="dxa" w:w="1296"/>
            <w:vAlign w:val="center"/>
          </w:tcPr>
          <w:p>
            <w:pPr>
              <w:spacing w:after="0" w:before="0" w:line="240" w:lineRule="auto"/>
            </w:pPr>
            <w:r>
              <w:rPr>
                <w:b w:val="0"/>
                <w:color w:val="000000"/>
                <w:sz w:val="21"/>
              </w:rPr>
              <w:t>1.320</w:t>
            </w:r>
          </w:p>
        </w:tc>
        <w:tc>
          <w:tcPr>
            <w:tcW w:type="dxa" w:w="1584"/>
            <w:vAlign w:val="center"/>
          </w:tcPr>
          <w:p>
            <w:pPr>
              <w:spacing w:after="0" w:before="0" w:line="240" w:lineRule="auto"/>
            </w:pPr>
            <w:r>
              <w:rPr>
                <w:b w:val="0"/>
                <w:color w:val="000000"/>
                <w:sz w:val="21"/>
              </w:rPr>
              <w:t>-2.32%</w:t>
            </w:r>
          </w:p>
        </w:tc>
      </w:tr>
      <w:tr>
        <w:trPr>
          <w:cantSplit/>
        </w:trPr>
        <w:tc>
          <w:tcPr>
            <w:tcW w:type="dxa" w:w="2016"/>
            <w:vAlign w:val="center"/>
          </w:tcPr>
          <w:p>
            <w:pPr>
              <w:spacing w:after="0" w:before="0" w:line="240" w:lineRule="auto"/>
            </w:pPr>
            <w:r>
              <w:rPr>
                <w:b w:val="0"/>
                <w:color w:val="000000"/>
                <w:sz w:val="21"/>
              </w:rPr>
              <w:t>Equal initial</w:t>
            </w:r>
          </w:p>
        </w:tc>
        <w:tc>
          <w:tcPr>
            <w:tcW w:type="dxa" w:w="1512"/>
            <w:vAlign w:val="center"/>
          </w:tcPr>
          <w:p>
            <w:pPr>
              <w:spacing w:after="0" w:before="0" w:line="240" w:lineRule="auto"/>
            </w:pPr>
            <w:r>
              <w:rPr>
                <w:b w:val="0"/>
                <w:color w:val="000000"/>
                <w:sz w:val="21"/>
              </w:rPr>
              <w:t>90.01%</w:t>
            </w:r>
          </w:p>
        </w:tc>
        <w:tc>
          <w:tcPr>
            <w:tcW w:type="dxa" w:w="1440"/>
            <w:vAlign w:val="center"/>
          </w:tcPr>
          <w:p>
            <w:pPr>
              <w:spacing w:after="0" w:before="0" w:line="240" w:lineRule="auto"/>
            </w:pPr>
            <w:r>
              <w:rPr>
                <w:b w:val="0"/>
                <w:color w:val="000000"/>
                <w:sz w:val="21"/>
              </w:rPr>
              <w:t>17.43%</w:t>
            </w:r>
          </w:p>
        </w:tc>
        <w:tc>
          <w:tcPr>
            <w:tcW w:type="dxa" w:w="1512"/>
            <w:vAlign w:val="center"/>
          </w:tcPr>
          <w:p>
            <w:pPr>
              <w:spacing w:after="0" w:before="0" w:line="240" w:lineRule="auto"/>
            </w:pPr>
            <w:r>
              <w:rPr>
                <w:b w:val="0"/>
                <w:color w:val="000000"/>
                <w:sz w:val="21"/>
              </w:rPr>
              <w:t>8.95%</w:t>
            </w:r>
          </w:p>
        </w:tc>
        <w:tc>
          <w:tcPr>
            <w:tcW w:type="dxa" w:w="1296"/>
            <w:vAlign w:val="center"/>
          </w:tcPr>
          <w:p>
            <w:pPr>
              <w:spacing w:after="0" w:before="0" w:line="240" w:lineRule="auto"/>
            </w:pPr>
            <w:r>
              <w:rPr>
                <w:b w:val="0"/>
                <w:color w:val="000000"/>
                <w:sz w:val="21"/>
              </w:rPr>
              <w:t>1.506</w:t>
            </w:r>
          </w:p>
        </w:tc>
        <w:tc>
          <w:tcPr>
            <w:tcW w:type="dxa" w:w="1584"/>
            <w:vAlign w:val="center"/>
          </w:tcPr>
          <w:p>
            <w:pPr>
              <w:spacing w:after="0" w:before="0" w:line="240" w:lineRule="auto"/>
            </w:pPr>
            <w:r>
              <w:rPr>
                <w:b w:val="0"/>
                <w:color w:val="000000"/>
                <w:sz w:val="21"/>
              </w:rPr>
              <w:t>-6.56%</w:t>
            </w:r>
          </w:p>
        </w:tc>
      </w:tr>
      <w:tr>
        <w:trPr>
          <w:cantSplit/>
        </w:trPr>
        <w:tc>
          <w:tcPr>
            <w:tcW w:type="dxa" w:w="2016"/>
            <w:vAlign w:val="center"/>
          </w:tcPr>
          <w:p>
            <w:pPr>
              <w:spacing w:after="0" w:before="0" w:line="240" w:lineRule="auto"/>
            </w:pPr>
            <w:r>
              <w:rPr>
                <w:b w:val="0"/>
                <w:color w:val="000000"/>
                <w:sz w:val="21"/>
              </w:rPr>
              <w:t>QQQ passive</w:t>
            </w:r>
          </w:p>
        </w:tc>
        <w:tc>
          <w:tcPr>
            <w:tcW w:type="dxa" w:w="1512"/>
            <w:vAlign w:val="center"/>
          </w:tcPr>
          <w:p>
            <w:pPr>
              <w:spacing w:after="0" w:before="0" w:line="240" w:lineRule="auto"/>
            </w:pPr>
            <w:r>
              <w:rPr>
                <w:b w:val="0"/>
                <w:color w:val="000000"/>
                <w:sz w:val="21"/>
              </w:rPr>
              <w:t>171.41%</w:t>
            </w:r>
          </w:p>
        </w:tc>
        <w:tc>
          <w:tcPr>
            <w:tcW w:type="dxa" w:w="1440"/>
            <w:vAlign w:val="center"/>
          </w:tcPr>
          <w:p>
            <w:pPr>
              <w:spacing w:after="0" w:before="0" w:line="240" w:lineRule="auto"/>
            </w:pPr>
            <w:r>
              <w:rPr>
                <w:b w:val="0"/>
                <w:color w:val="000000"/>
                <w:sz w:val="21"/>
              </w:rPr>
              <w:t>28.39%</w:t>
            </w:r>
          </w:p>
        </w:tc>
        <w:tc>
          <w:tcPr>
            <w:tcW w:type="dxa" w:w="1512"/>
            <w:vAlign w:val="center"/>
          </w:tcPr>
          <w:p>
            <w:pPr>
              <w:spacing w:after="0" w:before="0" w:line="240" w:lineRule="auto"/>
            </w:pPr>
            <w:r>
              <w:rPr>
                <w:b w:val="0"/>
                <w:color w:val="000000"/>
                <w:sz w:val="21"/>
              </w:rPr>
              <w:t>23.26%</w:t>
            </w:r>
          </w:p>
        </w:tc>
        <w:tc>
          <w:tcPr>
            <w:tcW w:type="dxa" w:w="1296"/>
            <w:vAlign w:val="center"/>
          </w:tcPr>
          <w:p>
            <w:pPr>
              <w:spacing w:after="0" w:before="0" w:line="240" w:lineRule="auto"/>
            </w:pPr>
            <w:r>
              <w:rPr>
                <w:b w:val="0"/>
                <w:color w:val="000000"/>
                <w:sz w:val="21"/>
              </w:rPr>
              <w:t>1.063</w:t>
            </w:r>
          </w:p>
        </w:tc>
        <w:tc>
          <w:tcPr>
            <w:tcW w:type="dxa" w:w="1584"/>
            <w:vAlign w:val="center"/>
          </w:tcPr>
          <w:p>
            <w:pPr>
              <w:spacing w:after="0" w:before="0" w:line="240" w:lineRule="auto"/>
            </w:pPr>
            <w:r>
              <w:rPr>
                <w:b w:val="0"/>
                <w:color w:val="000000"/>
                <w:sz w:val="21"/>
              </w:rPr>
              <w:t>-28.56%</w:t>
            </w:r>
          </w:p>
        </w:tc>
      </w:tr>
    </w:tbl>
    <w:p>
      <w:pPr>
        <w:spacing w:after="0"/>
      </w:pPr>
    </w:p>
    <w:p>
      <w:pPr>
        <w:pStyle w:val="Heading2"/>
      </w:pPr>
      <w:r>
        <w:t>Validation 2021 to 2023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2016"/>
        <w:gridCol w:w="1512"/>
        <w:gridCol w:w="1440"/>
        <w:gridCol w:w="1512"/>
        <w:gridCol w:w="1296"/>
        <w:gridCol w:w="1584"/>
      </w:tblGrid>
      <w:tr>
        <w:trPr>
          <w:cantSplit/>
          <w:tblHeader/>
        </w:trPr>
        <w:tc>
          <w:tcPr>
            <w:tcW w:type="dxa" w:w="2016"/>
            <w:vAlign w:val="center"/>
            <w:shd w:fill="F2F2F2"/>
          </w:tcPr>
          <w:p>
            <w:pPr>
              <w:spacing w:after="0" w:before="0" w:line="240" w:lineRule="auto"/>
            </w:pPr>
            <w:r>
              <w:rPr>
                <w:b/>
                <w:color w:val="000000"/>
                <w:sz w:val="21"/>
              </w:rPr>
              <w:t>Portfolio</w:t>
            </w:r>
          </w:p>
        </w:tc>
        <w:tc>
          <w:tcPr>
            <w:tcW w:type="dxa" w:w="1512"/>
            <w:vAlign w:val="center"/>
            <w:shd w:fill="F2F2F2"/>
          </w:tcPr>
          <w:p>
            <w:pPr>
              <w:spacing w:after="0" w:before="0" w:line="240" w:lineRule="auto"/>
            </w:pPr>
            <w:r>
              <w:rPr>
                <w:b/>
                <w:color w:val="000000"/>
                <w:sz w:val="21"/>
              </w:rPr>
              <w:t>Total return</w:t>
            </w:r>
          </w:p>
        </w:tc>
        <w:tc>
          <w:tcPr>
            <w:tcW w:type="dxa" w:w="1440"/>
            <w:vAlign w:val="center"/>
            <w:shd w:fill="F2F2F2"/>
          </w:tcPr>
          <w:p>
            <w:pPr>
              <w:spacing w:after="0" w:before="0" w:line="240" w:lineRule="auto"/>
            </w:pPr>
            <w:r>
              <w:rPr>
                <w:b/>
                <w:color w:val="000000"/>
                <w:sz w:val="21"/>
              </w:rPr>
              <w:t>CAGR</w:t>
            </w:r>
          </w:p>
        </w:tc>
        <w:tc>
          <w:tcPr>
            <w:tcW w:type="dxa" w:w="1512"/>
            <w:vAlign w:val="center"/>
            <w:shd w:fill="F2F2F2"/>
          </w:tcPr>
          <w:p>
            <w:pPr>
              <w:spacing w:after="0" w:before="0" w:line="240" w:lineRule="auto"/>
            </w:pPr>
            <w:r>
              <w:rPr>
                <w:b/>
                <w:color w:val="000000"/>
                <w:sz w:val="21"/>
              </w:rPr>
              <w:t>Volatility</w:t>
            </w:r>
          </w:p>
        </w:tc>
        <w:tc>
          <w:tcPr>
            <w:tcW w:type="dxa" w:w="1296"/>
            <w:vAlign w:val="center"/>
            <w:shd w:fill="F2F2F2"/>
          </w:tcPr>
          <w:p>
            <w:pPr>
              <w:spacing w:after="0" w:before="0" w:line="240" w:lineRule="auto"/>
            </w:pPr>
            <w:r>
              <w:rPr>
                <w:b/>
                <w:color w:val="000000"/>
                <w:sz w:val="21"/>
              </w:rPr>
              <w:t>Sharpe</w:t>
            </w:r>
          </w:p>
        </w:tc>
        <w:tc>
          <w:tcPr>
            <w:tcW w:type="dxa" w:w="1584"/>
            <w:vAlign w:val="center"/>
            <w:shd w:fill="F2F2F2"/>
          </w:tcPr>
          <w:p>
            <w:pPr>
              <w:spacing w:after="0" w:before="0" w:line="240" w:lineRule="auto"/>
            </w:pPr>
            <w:r>
              <w:rPr>
                <w:b/>
                <w:color w:val="000000"/>
                <w:sz w:val="21"/>
              </w:rPr>
              <w:t>Max DD</w:t>
            </w:r>
          </w:p>
        </w:tc>
      </w:tr>
      <w:tr>
        <w:trPr>
          <w:cantSplit/>
        </w:trPr>
        <w:tc>
          <w:tcPr>
            <w:tcW w:type="dxa" w:w="2016"/>
            <w:vAlign w:val="center"/>
          </w:tcPr>
          <w:p>
            <w:pPr>
              <w:spacing w:after="0" w:before="0" w:line="240" w:lineRule="auto"/>
            </w:pPr>
            <w:r>
              <w:rPr>
                <w:b w:val="0"/>
                <w:color w:val="000000"/>
                <w:sz w:val="21"/>
              </w:rPr>
              <w:t>Daily cap</w:t>
            </w:r>
          </w:p>
        </w:tc>
        <w:tc>
          <w:tcPr>
            <w:tcW w:type="dxa" w:w="1512"/>
            <w:vAlign w:val="center"/>
          </w:tcPr>
          <w:p>
            <w:pPr>
              <w:spacing w:after="0" w:before="0" w:line="240" w:lineRule="auto"/>
            </w:pPr>
            <w:r>
              <w:rPr>
                <w:b w:val="0"/>
                <w:color w:val="000000"/>
                <w:sz w:val="21"/>
              </w:rPr>
              <w:t>22.04%</w:t>
            </w:r>
          </w:p>
        </w:tc>
        <w:tc>
          <w:tcPr>
            <w:tcW w:type="dxa" w:w="1440"/>
            <w:vAlign w:val="center"/>
          </w:tcPr>
          <w:p>
            <w:pPr>
              <w:spacing w:after="0" w:before="0" w:line="240" w:lineRule="auto"/>
            </w:pPr>
            <w:r>
              <w:rPr>
                <w:b w:val="0"/>
                <w:color w:val="000000"/>
                <w:sz w:val="21"/>
              </w:rPr>
              <w:t>6.90%</w:t>
            </w:r>
          </w:p>
        </w:tc>
        <w:tc>
          <w:tcPr>
            <w:tcW w:type="dxa" w:w="1512"/>
            <w:vAlign w:val="center"/>
          </w:tcPr>
          <w:p>
            <w:pPr>
              <w:spacing w:after="0" w:before="0" w:line="240" w:lineRule="auto"/>
            </w:pPr>
            <w:r>
              <w:rPr>
                <w:b w:val="0"/>
                <w:color w:val="000000"/>
                <w:sz w:val="21"/>
              </w:rPr>
              <w:t>11.30%</w:t>
            </w:r>
          </w:p>
        </w:tc>
        <w:tc>
          <w:tcPr>
            <w:tcW w:type="dxa" w:w="1296"/>
            <w:vAlign w:val="center"/>
          </w:tcPr>
          <w:p>
            <w:pPr>
              <w:spacing w:after="0" w:before="0" w:line="240" w:lineRule="auto"/>
            </w:pPr>
            <w:r>
              <w:rPr>
                <w:b w:val="0"/>
                <w:color w:val="000000"/>
                <w:sz w:val="21"/>
              </w:rPr>
              <w:t>0.381</w:t>
            </w:r>
          </w:p>
        </w:tc>
        <w:tc>
          <w:tcPr>
            <w:tcW w:type="dxa" w:w="1584"/>
            <w:vAlign w:val="center"/>
          </w:tcPr>
          <w:p>
            <w:pPr>
              <w:spacing w:after="0" w:before="0" w:line="240" w:lineRule="auto"/>
            </w:pPr>
            <w:r>
              <w:rPr>
                <w:b w:val="0"/>
                <w:color w:val="000000"/>
                <w:sz w:val="21"/>
              </w:rPr>
              <w:t>-17.52%</w:t>
            </w:r>
          </w:p>
        </w:tc>
      </w:tr>
      <w:tr>
        <w:trPr>
          <w:cantSplit/>
        </w:trPr>
        <w:tc>
          <w:tcPr>
            <w:tcW w:type="dxa" w:w="2016"/>
            <w:vAlign w:val="center"/>
          </w:tcPr>
          <w:p>
            <w:pPr>
              <w:spacing w:after="0" w:before="0" w:line="240" w:lineRule="auto"/>
            </w:pPr>
            <w:r>
              <w:rPr>
                <w:b w:val="0"/>
                <w:color w:val="000000"/>
                <w:sz w:val="21"/>
              </w:rPr>
              <w:t>Initial cap</w:t>
            </w:r>
          </w:p>
        </w:tc>
        <w:tc>
          <w:tcPr>
            <w:tcW w:type="dxa" w:w="1512"/>
            <w:vAlign w:val="center"/>
          </w:tcPr>
          <w:p>
            <w:pPr>
              <w:spacing w:after="0" w:before="0" w:line="240" w:lineRule="auto"/>
            </w:pPr>
            <w:r>
              <w:rPr>
                <w:b w:val="0"/>
                <w:color w:val="000000"/>
                <w:sz w:val="21"/>
              </w:rPr>
              <w:t>25.01%</w:t>
            </w:r>
          </w:p>
        </w:tc>
        <w:tc>
          <w:tcPr>
            <w:tcW w:type="dxa" w:w="1440"/>
            <w:vAlign w:val="center"/>
          </w:tcPr>
          <w:p>
            <w:pPr>
              <w:spacing w:after="0" w:before="0" w:line="240" w:lineRule="auto"/>
            </w:pPr>
            <w:r>
              <w:rPr>
                <w:b w:val="0"/>
                <w:color w:val="000000"/>
                <w:sz w:val="21"/>
              </w:rPr>
              <w:t>7.77%</w:t>
            </w:r>
          </w:p>
        </w:tc>
        <w:tc>
          <w:tcPr>
            <w:tcW w:type="dxa" w:w="1512"/>
            <w:vAlign w:val="center"/>
          </w:tcPr>
          <w:p>
            <w:pPr>
              <w:spacing w:after="0" w:before="0" w:line="240" w:lineRule="auto"/>
            </w:pPr>
            <w:r>
              <w:rPr>
                <w:b w:val="0"/>
                <w:color w:val="000000"/>
                <w:sz w:val="21"/>
              </w:rPr>
              <w:t>12.55%</w:t>
            </w:r>
          </w:p>
        </w:tc>
        <w:tc>
          <w:tcPr>
            <w:tcW w:type="dxa" w:w="1296"/>
            <w:vAlign w:val="center"/>
          </w:tcPr>
          <w:p>
            <w:pPr>
              <w:spacing w:after="0" w:before="0" w:line="240" w:lineRule="auto"/>
            </w:pPr>
            <w:r>
              <w:rPr>
                <w:b w:val="0"/>
                <w:color w:val="000000"/>
                <w:sz w:val="21"/>
              </w:rPr>
              <w:t>0.419</w:t>
            </w:r>
          </w:p>
        </w:tc>
        <w:tc>
          <w:tcPr>
            <w:tcW w:type="dxa" w:w="1584"/>
            <w:vAlign w:val="center"/>
          </w:tcPr>
          <w:p>
            <w:pPr>
              <w:spacing w:after="0" w:before="0" w:line="240" w:lineRule="auto"/>
            </w:pPr>
            <w:r>
              <w:rPr>
                <w:b w:val="0"/>
                <w:color w:val="000000"/>
                <w:sz w:val="21"/>
              </w:rPr>
              <w:t>-19.24%</w:t>
            </w:r>
          </w:p>
        </w:tc>
      </w:tr>
      <w:tr>
        <w:trPr>
          <w:cantSplit/>
        </w:trPr>
        <w:tc>
          <w:tcPr>
            <w:tcW w:type="dxa" w:w="2016"/>
            <w:vAlign w:val="center"/>
          </w:tcPr>
          <w:p>
            <w:pPr>
              <w:spacing w:after="0" w:before="0" w:line="240" w:lineRule="auto"/>
            </w:pPr>
            <w:r>
              <w:rPr>
                <w:b w:val="0"/>
                <w:color w:val="000000"/>
                <w:sz w:val="21"/>
              </w:rPr>
              <w:t>Uncapped</w:t>
            </w:r>
          </w:p>
        </w:tc>
        <w:tc>
          <w:tcPr>
            <w:tcW w:type="dxa" w:w="1512"/>
            <w:vAlign w:val="center"/>
          </w:tcPr>
          <w:p>
            <w:pPr>
              <w:spacing w:after="0" w:before="0" w:line="240" w:lineRule="auto"/>
            </w:pPr>
            <w:r>
              <w:rPr>
                <w:b w:val="0"/>
                <w:color w:val="000000"/>
                <w:sz w:val="21"/>
              </w:rPr>
              <w:t>5.54%</w:t>
            </w:r>
          </w:p>
        </w:tc>
        <w:tc>
          <w:tcPr>
            <w:tcW w:type="dxa" w:w="1440"/>
            <w:vAlign w:val="center"/>
          </w:tcPr>
          <w:p>
            <w:pPr>
              <w:spacing w:after="0" w:before="0" w:line="240" w:lineRule="auto"/>
            </w:pPr>
            <w:r>
              <w:rPr>
                <w:b w:val="0"/>
                <w:color w:val="000000"/>
                <w:sz w:val="21"/>
              </w:rPr>
              <w:t>1.82%</w:t>
            </w:r>
          </w:p>
        </w:tc>
        <w:tc>
          <w:tcPr>
            <w:tcW w:type="dxa" w:w="1512"/>
            <w:vAlign w:val="center"/>
          </w:tcPr>
          <w:p>
            <w:pPr>
              <w:spacing w:after="0" w:before="0" w:line="240" w:lineRule="auto"/>
            </w:pPr>
            <w:r>
              <w:rPr>
                <w:b w:val="0"/>
                <w:color w:val="000000"/>
                <w:sz w:val="21"/>
              </w:rPr>
              <w:t>4.49%</w:t>
            </w:r>
          </w:p>
        </w:tc>
        <w:tc>
          <w:tcPr>
            <w:tcW w:type="dxa" w:w="1296"/>
            <w:vAlign w:val="center"/>
          </w:tcPr>
          <w:p>
            <w:pPr>
              <w:spacing w:after="0" w:before="0" w:line="240" w:lineRule="auto"/>
            </w:pPr>
            <w:r>
              <w:rPr>
                <w:b w:val="0"/>
                <w:color w:val="000000"/>
                <w:sz w:val="21"/>
              </w:rPr>
              <w:t>-0.243</w:t>
            </w:r>
          </w:p>
        </w:tc>
        <w:tc>
          <w:tcPr>
            <w:tcW w:type="dxa" w:w="1584"/>
            <w:vAlign w:val="center"/>
          </w:tcPr>
          <w:p>
            <w:pPr>
              <w:spacing w:after="0" w:before="0" w:line="240" w:lineRule="auto"/>
            </w:pPr>
            <w:r>
              <w:rPr>
                <w:b w:val="0"/>
                <w:color w:val="000000"/>
                <w:sz w:val="21"/>
              </w:rPr>
              <w:t>-9.70%</w:t>
            </w:r>
          </w:p>
        </w:tc>
      </w:tr>
      <w:tr>
        <w:trPr>
          <w:cantSplit/>
        </w:trPr>
        <w:tc>
          <w:tcPr>
            <w:tcW w:type="dxa" w:w="2016"/>
            <w:vAlign w:val="center"/>
          </w:tcPr>
          <w:p>
            <w:pPr>
              <w:spacing w:after="0" w:before="0" w:line="240" w:lineRule="auto"/>
            </w:pPr>
            <w:r>
              <w:rPr>
                <w:b w:val="0"/>
                <w:color w:val="000000"/>
                <w:sz w:val="21"/>
              </w:rPr>
              <w:t>Equal initial</w:t>
            </w:r>
          </w:p>
        </w:tc>
        <w:tc>
          <w:tcPr>
            <w:tcW w:type="dxa" w:w="1512"/>
            <w:vAlign w:val="center"/>
          </w:tcPr>
          <w:p>
            <w:pPr>
              <w:spacing w:after="0" w:before="0" w:line="240" w:lineRule="auto"/>
            </w:pPr>
            <w:r>
              <w:rPr>
                <w:b w:val="0"/>
                <w:color w:val="000000"/>
                <w:sz w:val="21"/>
              </w:rPr>
              <w:t>23.41%</w:t>
            </w:r>
          </w:p>
        </w:tc>
        <w:tc>
          <w:tcPr>
            <w:tcW w:type="dxa" w:w="1440"/>
            <w:vAlign w:val="center"/>
          </w:tcPr>
          <w:p>
            <w:pPr>
              <w:spacing w:after="0" w:before="0" w:line="240" w:lineRule="auto"/>
            </w:pPr>
            <w:r>
              <w:rPr>
                <w:b w:val="0"/>
                <w:color w:val="000000"/>
                <w:sz w:val="21"/>
              </w:rPr>
              <w:t>7.30%</w:t>
            </w:r>
          </w:p>
        </w:tc>
        <w:tc>
          <w:tcPr>
            <w:tcW w:type="dxa" w:w="1512"/>
            <w:vAlign w:val="center"/>
          </w:tcPr>
          <w:p>
            <w:pPr>
              <w:spacing w:after="0" w:before="0" w:line="240" w:lineRule="auto"/>
            </w:pPr>
            <w:r>
              <w:rPr>
                <w:b w:val="0"/>
                <w:color w:val="000000"/>
                <w:sz w:val="21"/>
              </w:rPr>
              <w:t>9.50%</w:t>
            </w:r>
          </w:p>
        </w:tc>
        <w:tc>
          <w:tcPr>
            <w:tcW w:type="dxa" w:w="1296"/>
            <w:vAlign w:val="center"/>
          </w:tcPr>
          <w:p>
            <w:pPr>
              <w:spacing w:after="0" w:before="0" w:line="240" w:lineRule="auto"/>
            </w:pPr>
            <w:r>
              <w:rPr>
                <w:b w:val="0"/>
                <w:color w:val="000000"/>
                <w:sz w:val="21"/>
              </w:rPr>
              <w:t>0.473</w:t>
            </w:r>
          </w:p>
        </w:tc>
        <w:tc>
          <w:tcPr>
            <w:tcW w:type="dxa" w:w="1584"/>
            <w:vAlign w:val="center"/>
          </w:tcPr>
          <w:p>
            <w:pPr>
              <w:spacing w:after="0" w:before="0" w:line="240" w:lineRule="auto"/>
            </w:pPr>
            <w:r>
              <w:rPr>
                <w:b w:val="0"/>
                <w:color w:val="000000"/>
                <w:sz w:val="21"/>
              </w:rPr>
              <w:t>-13.48%</w:t>
            </w:r>
          </w:p>
        </w:tc>
      </w:tr>
      <w:tr>
        <w:trPr>
          <w:cantSplit/>
        </w:trPr>
        <w:tc>
          <w:tcPr>
            <w:tcW w:type="dxa" w:w="2016"/>
            <w:vAlign w:val="center"/>
          </w:tcPr>
          <w:p>
            <w:pPr>
              <w:spacing w:after="0" w:before="0" w:line="240" w:lineRule="auto"/>
            </w:pPr>
            <w:r>
              <w:rPr>
                <w:b w:val="0"/>
                <w:color w:val="000000"/>
                <w:sz w:val="21"/>
              </w:rPr>
              <w:t>QQQ passive</w:t>
            </w:r>
          </w:p>
        </w:tc>
        <w:tc>
          <w:tcPr>
            <w:tcW w:type="dxa" w:w="1512"/>
            <w:vAlign w:val="center"/>
          </w:tcPr>
          <w:p>
            <w:pPr>
              <w:spacing w:after="0" w:before="0" w:line="240" w:lineRule="auto"/>
            </w:pPr>
            <w:r>
              <w:rPr>
                <w:b w:val="0"/>
                <w:color w:val="000000"/>
                <w:sz w:val="21"/>
              </w:rPr>
              <w:t>32.34%</w:t>
            </w:r>
          </w:p>
        </w:tc>
        <w:tc>
          <w:tcPr>
            <w:tcW w:type="dxa" w:w="1440"/>
            <w:vAlign w:val="center"/>
          </w:tcPr>
          <w:p>
            <w:pPr>
              <w:spacing w:after="0" w:before="0" w:line="240" w:lineRule="auto"/>
            </w:pPr>
            <w:r>
              <w:rPr>
                <w:b w:val="0"/>
                <w:color w:val="000000"/>
                <w:sz w:val="21"/>
              </w:rPr>
              <w:t>9.84%</w:t>
            </w:r>
          </w:p>
        </w:tc>
        <w:tc>
          <w:tcPr>
            <w:tcW w:type="dxa" w:w="1512"/>
            <w:vAlign w:val="center"/>
          </w:tcPr>
          <w:p>
            <w:pPr>
              <w:spacing w:after="0" w:before="0" w:line="240" w:lineRule="auto"/>
            </w:pPr>
            <w:r>
              <w:rPr>
                <w:b w:val="0"/>
                <w:color w:val="000000"/>
                <w:sz w:val="21"/>
              </w:rPr>
              <w:t>23.77%</w:t>
            </w:r>
          </w:p>
        </w:tc>
        <w:tc>
          <w:tcPr>
            <w:tcW w:type="dxa" w:w="1296"/>
            <w:vAlign w:val="center"/>
          </w:tcPr>
          <w:p>
            <w:pPr>
              <w:spacing w:after="0" w:before="0" w:line="240" w:lineRule="auto"/>
            </w:pPr>
            <w:r>
              <w:rPr>
                <w:b w:val="0"/>
                <w:color w:val="000000"/>
                <w:sz w:val="21"/>
              </w:rPr>
              <w:t>0.387</w:t>
            </w:r>
          </w:p>
        </w:tc>
        <w:tc>
          <w:tcPr>
            <w:tcW w:type="dxa" w:w="1584"/>
            <w:vAlign w:val="center"/>
          </w:tcPr>
          <w:p>
            <w:pPr>
              <w:spacing w:after="0" w:before="0" w:line="240" w:lineRule="auto"/>
            </w:pPr>
            <w:r>
              <w:rPr>
                <w:b w:val="0"/>
                <w:color w:val="000000"/>
                <w:sz w:val="21"/>
              </w:rPr>
              <w:t>-35.12%</w:t>
            </w:r>
          </w:p>
        </w:tc>
      </w:tr>
    </w:tbl>
    <w:p>
      <w:pPr>
        <w:spacing w:after="0"/>
      </w:pPr>
    </w:p>
    <w:p>
      <w:pPr>
        <w:pStyle w:val="Heading2"/>
      </w:pPr>
      <w:r>
        <w:t>Historical OOS 2024 to October 15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2016"/>
        <w:gridCol w:w="1512"/>
        <w:gridCol w:w="1440"/>
        <w:gridCol w:w="1512"/>
        <w:gridCol w:w="1296"/>
        <w:gridCol w:w="1584"/>
      </w:tblGrid>
      <w:tr>
        <w:trPr>
          <w:cantSplit/>
          <w:tblHeader/>
        </w:trPr>
        <w:tc>
          <w:tcPr>
            <w:tcW w:type="dxa" w:w="2016"/>
            <w:vAlign w:val="center"/>
            <w:shd w:fill="F2F2F2"/>
          </w:tcPr>
          <w:p>
            <w:pPr>
              <w:spacing w:after="0" w:before="0" w:line="240" w:lineRule="auto"/>
            </w:pPr>
            <w:r>
              <w:rPr>
                <w:b/>
                <w:color w:val="000000"/>
                <w:sz w:val="21"/>
              </w:rPr>
              <w:t>Portfolio</w:t>
            </w:r>
          </w:p>
        </w:tc>
        <w:tc>
          <w:tcPr>
            <w:tcW w:type="dxa" w:w="1512"/>
            <w:vAlign w:val="center"/>
            <w:shd w:fill="F2F2F2"/>
          </w:tcPr>
          <w:p>
            <w:pPr>
              <w:spacing w:after="0" w:before="0" w:line="240" w:lineRule="auto"/>
            </w:pPr>
            <w:r>
              <w:rPr>
                <w:b/>
                <w:color w:val="000000"/>
                <w:sz w:val="21"/>
              </w:rPr>
              <w:t>Total return</w:t>
            </w:r>
          </w:p>
        </w:tc>
        <w:tc>
          <w:tcPr>
            <w:tcW w:type="dxa" w:w="1440"/>
            <w:vAlign w:val="center"/>
            <w:shd w:fill="F2F2F2"/>
          </w:tcPr>
          <w:p>
            <w:pPr>
              <w:spacing w:after="0" w:before="0" w:line="240" w:lineRule="auto"/>
            </w:pPr>
            <w:r>
              <w:rPr>
                <w:b/>
                <w:color w:val="000000"/>
                <w:sz w:val="21"/>
              </w:rPr>
              <w:t>CAGR</w:t>
            </w:r>
          </w:p>
        </w:tc>
        <w:tc>
          <w:tcPr>
            <w:tcW w:type="dxa" w:w="1512"/>
            <w:vAlign w:val="center"/>
            <w:shd w:fill="F2F2F2"/>
          </w:tcPr>
          <w:p>
            <w:pPr>
              <w:spacing w:after="0" w:before="0" w:line="240" w:lineRule="auto"/>
            </w:pPr>
            <w:r>
              <w:rPr>
                <w:b/>
                <w:color w:val="000000"/>
                <w:sz w:val="21"/>
              </w:rPr>
              <w:t>Volatility</w:t>
            </w:r>
          </w:p>
        </w:tc>
        <w:tc>
          <w:tcPr>
            <w:tcW w:type="dxa" w:w="1296"/>
            <w:vAlign w:val="center"/>
            <w:shd w:fill="F2F2F2"/>
          </w:tcPr>
          <w:p>
            <w:pPr>
              <w:spacing w:after="0" w:before="0" w:line="240" w:lineRule="auto"/>
            </w:pPr>
            <w:r>
              <w:rPr>
                <w:b/>
                <w:color w:val="000000"/>
                <w:sz w:val="21"/>
              </w:rPr>
              <w:t>Sharpe</w:t>
            </w:r>
          </w:p>
        </w:tc>
        <w:tc>
          <w:tcPr>
            <w:tcW w:type="dxa" w:w="1584"/>
            <w:vAlign w:val="center"/>
            <w:shd w:fill="F2F2F2"/>
          </w:tcPr>
          <w:p>
            <w:pPr>
              <w:spacing w:after="0" w:before="0" w:line="240" w:lineRule="auto"/>
            </w:pPr>
            <w:r>
              <w:rPr>
                <w:b/>
                <w:color w:val="000000"/>
                <w:sz w:val="21"/>
              </w:rPr>
              <w:t>Max DD</w:t>
            </w:r>
          </w:p>
        </w:tc>
      </w:tr>
      <w:tr>
        <w:trPr>
          <w:cantSplit/>
        </w:trPr>
        <w:tc>
          <w:tcPr>
            <w:tcW w:type="dxa" w:w="2016"/>
            <w:vAlign w:val="center"/>
          </w:tcPr>
          <w:p>
            <w:pPr>
              <w:spacing w:after="0" w:before="0" w:line="240" w:lineRule="auto"/>
            </w:pPr>
            <w:r>
              <w:rPr>
                <w:b w:val="0"/>
                <w:color w:val="000000"/>
                <w:sz w:val="21"/>
              </w:rPr>
              <w:t>Daily cap</w:t>
            </w:r>
          </w:p>
        </w:tc>
        <w:tc>
          <w:tcPr>
            <w:tcW w:type="dxa" w:w="1512"/>
            <w:vAlign w:val="center"/>
          </w:tcPr>
          <w:p>
            <w:pPr>
              <w:spacing w:after="0" w:before="0" w:line="240" w:lineRule="auto"/>
            </w:pPr>
            <w:r>
              <w:rPr>
                <w:b w:val="0"/>
                <w:color w:val="000000"/>
                <w:sz w:val="21"/>
              </w:rPr>
              <w:t>73.46%</w:t>
            </w:r>
          </w:p>
        </w:tc>
        <w:tc>
          <w:tcPr>
            <w:tcW w:type="dxa" w:w="1440"/>
            <w:vAlign w:val="center"/>
          </w:tcPr>
          <w:p>
            <w:pPr>
              <w:spacing w:after="0" w:before="0" w:line="240" w:lineRule="auto"/>
            </w:pPr>
            <w:r>
              <w:rPr>
                <w:b w:val="0"/>
                <w:color w:val="000000"/>
                <w:sz w:val="21"/>
              </w:rPr>
              <w:t>21.85%</w:t>
            </w:r>
          </w:p>
        </w:tc>
        <w:tc>
          <w:tcPr>
            <w:tcW w:type="dxa" w:w="1512"/>
            <w:vAlign w:val="center"/>
          </w:tcPr>
          <w:p>
            <w:pPr>
              <w:spacing w:after="0" w:before="0" w:line="240" w:lineRule="auto"/>
            </w:pPr>
            <w:r>
              <w:rPr>
                <w:b w:val="0"/>
                <w:color w:val="000000"/>
                <w:sz w:val="21"/>
              </w:rPr>
              <w:t>6.88%</w:t>
            </w:r>
          </w:p>
        </w:tc>
        <w:tc>
          <w:tcPr>
            <w:tcW w:type="dxa" w:w="1296"/>
            <w:vAlign w:val="center"/>
          </w:tcPr>
          <w:p>
            <w:pPr>
              <w:spacing w:after="0" w:before="0" w:line="240" w:lineRule="auto"/>
            </w:pPr>
            <w:r>
              <w:rPr>
                <w:b w:val="0"/>
                <w:color w:val="000000"/>
                <w:sz w:val="21"/>
              </w:rPr>
              <w:t>2.481</w:t>
            </w:r>
          </w:p>
        </w:tc>
        <w:tc>
          <w:tcPr>
            <w:tcW w:type="dxa" w:w="1584"/>
            <w:vAlign w:val="center"/>
          </w:tcPr>
          <w:p>
            <w:pPr>
              <w:spacing w:after="0" w:before="0" w:line="240" w:lineRule="auto"/>
            </w:pPr>
            <w:r>
              <w:rPr>
                <w:b w:val="0"/>
                <w:color w:val="000000"/>
                <w:sz w:val="21"/>
              </w:rPr>
              <w:t>-4.24%</w:t>
            </w:r>
          </w:p>
        </w:tc>
      </w:tr>
      <w:tr>
        <w:trPr>
          <w:cantSplit/>
        </w:trPr>
        <w:tc>
          <w:tcPr>
            <w:tcW w:type="dxa" w:w="2016"/>
            <w:vAlign w:val="center"/>
          </w:tcPr>
          <w:p>
            <w:pPr>
              <w:spacing w:after="0" w:before="0" w:line="240" w:lineRule="auto"/>
            </w:pPr>
            <w:r>
              <w:rPr>
                <w:b w:val="0"/>
                <w:color w:val="000000"/>
                <w:sz w:val="21"/>
              </w:rPr>
              <w:t>Initial cap</w:t>
            </w:r>
          </w:p>
        </w:tc>
        <w:tc>
          <w:tcPr>
            <w:tcW w:type="dxa" w:w="1512"/>
            <w:vAlign w:val="center"/>
          </w:tcPr>
          <w:p>
            <w:pPr>
              <w:spacing w:after="0" w:before="0" w:line="240" w:lineRule="auto"/>
            </w:pPr>
            <w:r>
              <w:rPr>
                <w:b w:val="0"/>
                <w:color w:val="000000"/>
                <w:sz w:val="21"/>
              </w:rPr>
              <w:t>84.46%</w:t>
            </w:r>
          </w:p>
        </w:tc>
        <w:tc>
          <w:tcPr>
            <w:tcW w:type="dxa" w:w="1440"/>
            <w:vAlign w:val="center"/>
          </w:tcPr>
          <w:p>
            <w:pPr>
              <w:spacing w:after="0" w:before="0" w:line="240" w:lineRule="auto"/>
            </w:pPr>
            <w:r>
              <w:rPr>
                <w:b w:val="0"/>
                <w:color w:val="000000"/>
                <w:sz w:val="21"/>
              </w:rPr>
              <w:t>24.57%</w:t>
            </w:r>
          </w:p>
        </w:tc>
        <w:tc>
          <w:tcPr>
            <w:tcW w:type="dxa" w:w="1512"/>
            <w:vAlign w:val="center"/>
          </w:tcPr>
          <w:p>
            <w:pPr>
              <w:spacing w:after="0" w:before="0" w:line="240" w:lineRule="auto"/>
            </w:pPr>
            <w:r>
              <w:rPr>
                <w:b w:val="0"/>
                <w:color w:val="000000"/>
                <w:sz w:val="21"/>
              </w:rPr>
              <w:t>7.78%</w:t>
            </w:r>
          </w:p>
        </w:tc>
        <w:tc>
          <w:tcPr>
            <w:tcW w:type="dxa" w:w="1296"/>
            <w:vAlign w:val="center"/>
          </w:tcPr>
          <w:p>
            <w:pPr>
              <w:spacing w:after="0" w:before="0" w:line="240" w:lineRule="auto"/>
            </w:pPr>
            <w:r>
              <w:rPr>
                <w:b w:val="0"/>
                <w:color w:val="000000"/>
                <w:sz w:val="21"/>
              </w:rPr>
              <w:t>2.487</w:t>
            </w:r>
          </w:p>
        </w:tc>
        <w:tc>
          <w:tcPr>
            <w:tcW w:type="dxa" w:w="1584"/>
            <w:vAlign w:val="center"/>
          </w:tcPr>
          <w:p>
            <w:pPr>
              <w:spacing w:after="0" w:before="0" w:line="240" w:lineRule="auto"/>
            </w:pPr>
            <w:r>
              <w:rPr>
                <w:b w:val="0"/>
                <w:color w:val="000000"/>
                <w:sz w:val="21"/>
              </w:rPr>
              <w:t>-4.67%</w:t>
            </w:r>
          </w:p>
        </w:tc>
      </w:tr>
      <w:tr>
        <w:trPr>
          <w:cantSplit/>
        </w:trPr>
        <w:tc>
          <w:tcPr>
            <w:tcW w:type="dxa" w:w="2016"/>
            <w:vAlign w:val="center"/>
          </w:tcPr>
          <w:p>
            <w:pPr>
              <w:spacing w:after="0" w:before="0" w:line="240" w:lineRule="auto"/>
            </w:pPr>
            <w:r>
              <w:rPr>
                <w:b w:val="0"/>
                <w:color w:val="000000"/>
                <w:sz w:val="21"/>
              </w:rPr>
              <w:t>Uncapped</w:t>
            </w:r>
          </w:p>
        </w:tc>
        <w:tc>
          <w:tcPr>
            <w:tcW w:type="dxa" w:w="1512"/>
            <w:vAlign w:val="center"/>
          </w:tcPr>
          <w:p>
            <w:pPr>
              <w:spacing w:after="0" w:before="0" w:line="240" w:lineRule="auto"/>
            </w:pPr>
            <w:r>
              <w:rPr>
                <w:b w:val="0"/>
                <w:color w:val="000000"/>
                <w:sz w:val="21"/>
              </w:rPr>
              <w:t>20.30%</w:t>
            </w:r>
          </w:p>
        </w:tc>
        <w:tc>
          <w:tcPr>
            <w:tcW w:type="dxa" w:w="1440"/>
            <w:vAlign w:val="center"/>
          </w:tcPr>
          <w:p>
            <w:pPr>
              <w:spacing w:after="0" w:before="0" w:line="240" w:lineRule="auto"/>
            </w:pPr>
            <w:r>
              <w:rPr>
                <w:b w:val="0"/>
                <w:color w:val="000000"/>
                <w:sz w:val="21"/>
              </w:rPr>
              <w:t>6.86%</w:t>
            </w:r>
          </w:p>
        </w:tc>
        <w:tc>
          <w:tcPr>
            <w:tcW w:type="dxa" w:w="1512"/>
            <w:vAlign w:val="center"/>
          </w:tcPr>
          <w:p>
            <w:pPr>
              <w:spacing w:after="0" w:before="0" w:line="240" w:lineRule="auto"/>
            </w:pPr>
            <w:r>
              <w:rPr>
                <w:b w:val="0"/>
                <w:color w:val="000000"/>
                <w:sz w:val="21"/>
              </w:rPr>
              <w:t>1.47%</w:t>
            </w:r>
          </w:p>
        </w:tc>
        <w:tc>
          <w:tcPr>
            <w:tcW w:type="dxa" w:w="1296"/>
            <w:vAlign w:val="center"/>
          </w:tcPr>
          <w:p>
            <w:pPr>
              <w:spacing w:after="0" w:before="0" w:line="240" w:lineRule="auto"/>
            </w:pPr>
            <w:r>
              <w:rPr>
                <w:b w:val="0"/>
                <w:color w:val="000000"/>
                <w:sz w:val="21"/>
              </w:rPr>
              <w:t>2.497</w:t>
            </w:r>
          </w:p>
        </w:tc>
        <w:tc>
          <w:tcPr>
            <w:tcW w:type="dxa" w:w="1584"/>
            <w:vAlign w:val="center"/>
          </w:tcPr>
          <w:p>
            <w:pPr>
              <w:spacing w:after="0" w:before="0" w:line="240" w:lineRule="auto"/>
            </w:pPr>
            <w:r>
              <w:rPr>
                <w:b w:val="0"/>
                <w:color w:val="000000"/>
                <w:sz w:val="21"/>
              </w:rPr>
              <w:t>-0.82%</w:t>
            </w:r>
          </w:p>
        </w:tc>
      </w:tr>
      <w:tr>
        <w:trPr>
          <w:cantSplit/>
        </w:trPr>
        <w:tc>
          <w:tcPr>
            <w:tcW w:type="dxa" w:w="2016"/>
            <w:vAlign w:val="center"/>
          </w:tcPr>
          <w:p>
            <w:pPr>
              <w:spacing w:after="0" w:before="0" w:line="240" w:lineRule="auto"/>
            </w:pPr>
            <w:r>
              <w:rPr>
                <w:b w:val="0"/>
                <w:color w:val="000000"/>
                <w:sz w:val="21"/>
              </w:rPr>
              <w:t>Equal initial</w:t>
            </w:r>
          </w:p>
        </w:tc>
        <w:tc>
          <w:tcPr>
            <w:tcW w:type="dxa" w:w="1512"/>
            <w:vAlign w:val="center"/>
          </w:tcPr>
          <w:p>
            <w:pPr>
              <w:spacing w:after="0" w:before="0" w:line="240" w:lineRule="auto"/>
            </w:pPr>
            <w:r>
              <w:rPr>
                <w:b w:val="0"/>
                <w:color w:val="000000"/>
                <w:sz w:val="21"/>
              </w:rPr>
              <w:t>68.02%</w:t>
            </w:r>
          </w:p>
        </w:tc>
        <w:tc>
          <w:tcPr>
            <w:tcW w:type="dxa" w:w="1440"/>
            <w:vAlign w:val="center"/>
          </w:tcPr>
          <w:p>
            <w:pPr>
              <w:spacing w:after="0" w:before="0" w:line="240" w:lineRule="auto"/>
            </w:pPr>
            <w:r>
              <w:rPr>
                <w:b w:val="0"/>
                <w:color w:val="000000"/>
                <w:sz w:val="21"/>
              </w:rPr>
              <w:t>20.46%</w:t>
            </w:r>
          </w:p>
        </w:tc>
        <w:tc>
          <w:tcPr>
            <w:tcW w:type="dxa" w:w="1512"/>
            <w:vAlign w:val="center"/>
          </w:tcPr>
          <w:p>
            <w:pPr>
              <w:spacing w:after="0" w:before="0" w:line="240" w:lineRule="auto"/>
            </w:pPr>
            <w:r>
              <w:rPr>
                <w:b w:val="0"/>
                <w:color w:val="000000"/>
                <w:sz w:val="21"/>
              </w:rPr>
              <w:t>7.24%</w:t>
            </w:r>
          </w:p>
        </w:tc>
        <w:tc>
          <w:tcPr>
            <w:tcW w:type="dxa" w:w="1296"/>
            <w:vAlign w:val="center"/>
          </w:tcPr>
          <w:p>
            <w:pPr>
              <w:spacing w:after="0" w:before="0" w:line="240" w:lineRule="auto"/>
            </w:pPr>
            <w:r>
              <w:rPr>
                <w:b w:val="0"/>
                <w:color w:val="000000"/>
                <w:sz w:val="21"/>
              </w:rPr>
              <w:t>2.204</w:t>
            </w:r>
          </w:p>
        </w:tc>
        <w:tc>
          <w:tcPr>
            <w:tcW w:type="dxa" w:w="1584"/>
            <w:vAlign w:val="center"/>
          </w:tcPr>
          <w:p>
            <w:pPr>
              <w:spacing w:after="0" w:before="0" w:line="240" w:lineRule="auto"/>
            </w:pPr>
            <w:r>
              <w:rPr>
                <w:b w:val="0"/>
                <w:color w:val="000000"/>
                <w:sz w:val="21"/>
              </w:rPr>
              <w:t>-4.27%</w:t>
            </w:r>
          </w:p>
        </w:tc>
      </w:tr>
      <w:tr>
        <w:trPr>
          <w:cantSplit/>
        </w:trPr>
        <w:tc>
          <w:tcPr>
            <w:tcW w:type="dxa" w:w="2016"/>
            <w:vAlign w:val="center"/>
          </w:tcPr>
          <w:p>
            <w:pPr>
              <w:spacing w:after="0" w:before="0" w:line="240" w:lineRule="auto"/>
            </w:pPr>
            <w:r>
              <w:rPr>
                <w:b w:val="0"/>
                <w:color w:val="000000"/>
                <w:sz w:val="21"/>
              </w:rPr>
              <w:t>QQQ passive</w:t>
            </w:r>
          </w:p>
        </w:tc>
        <w:tc>
          <w:tcPr>
            <w:tcW w:type="dxa" w:w="1512"/>
            <w:vAlign w:val="center"/>
          </w:tcPr>
          <w:p>
            <w:pPr>
              <w:spacing w:after="0" w:before="0" w:line="240" w:lineRule="auto"/>
            </w:pPr>
            <w:r>
              <w:rPr>
                <w:b w:val="0"/>
                <w:color w:val="000000"/>
                <w:sz w:val="21"/>
              </w:rPr>
              <w:t>81.83%</w:t>
            </w:r>
          </w:p>
        </w:tc>
        <w:tc>
          <w:tcPr>
            <w:tcW w:type="dxa" w:w="1440"/>
            <w:vAlign w:val="center"/>
          </w:tcPr>
          <w:p>
            <w:pPr>
              <w:spacing w:after="0" w:before="0" w:line="240" w:lineRule="auto"/>
            </w:pPr>
            <w:r>
              <w:rPr>
                <w:b w:val="0"/>
                <w:color w:val="000000"/>
                <w:sz w:val="21"/>
              </w:rPr>
              <w:t>23.93%</w:t>
            </w:r>
          </w:p>
        </w:tc>
        <w:tc>
          <w:tcPr>
            <w:tcW w:type="dxa" w:w="1512"/>
            <w:vAlign w:val="center"/>
          </w:tcPr>
          <w:p>
            <w:pPr>
              <w:spacing w:after="0" w:before="0" w:line="240" w:lineRule="auto"/>
            </w:pPr>
            <w:r>
              <w:rPr>
                <w:b w:val="0"/>
                <w:color w:val="000000"/>
                <w:sz w:val="21"/>
              </w:rPr>
              <w:t>20.75%</w:t>
            </w:r>
          </w:p>
        </w:tc>
        <w:tc>
          <w:tcPr>
            <w:tcW w:type="dxa" w:w="1296"/>
            <w:vAlign w:val="center"/>
          </w:tcPr>
          <w:p>
            <w:pPr>
              <w:spacing w:after="0" w:before="0" w:line="240" w:lineRule="auto"/>
            </w:pPr>
            <w:r>
              <w:rPr>
                <w:b w:val="0"/>
                <w:color w:val="000000"/>
                <w:sz w:val="21"/>
              </w:rPr>
              <w:t>0.996</w:t>
            </w:r>
          </w:p>
        </w:tc>
        <w:tc>
          <w:tcPr>
            <w:tcW w:type="dxa" w:w="1584"/>
            <w:vAlign w:val="center"/>
          </w:tcPr>
          <w:p>
            <w:pPr>
              <w:spacing w:after="0" w:before="0" w:line="240" w:lineRule="auto"/>
            </w:pPr>
            <w:r>
              <w:rPr>
                <w:b w:val="0"/>
                <w:color w:val="000000"/>
                <w:sz w:val="21"/>
              </w:rPr>
              <w:t>-22.77%</w:t>
            </w:r>
          </w:p>
        </w:tc>
      </w:tr>
    </w:tbl>
    <w:p>
      <w:pPr>
        <w:spacing w:after="0"/>
      </w:pPr>
    </w:p>
    <w:p>
      <w:pPr>
        <w:spacing w:after="140"/>
      </w:pPr>
      <w:r>
        <w:rPr>
          <w:b w:val="0"/>
          <w:i w:val="0"/>
          <w:sz w:val="21"/>
        </w:rPr>
        <w:t>Baseline means 1-bp commission plus 3-bp one-way slippage, each way. “Daily cap” is the OOS-fitted initial allocation, not a cap enforced in all three periods. Negative drawdown denotes loss from a prior daily peak. Total returns are not annualized and should not be compared across unequal period lengths without the accompanying CAGR.</w:t>
      </w:r>
    </w:p>
    <w:p>
      <w:pPr>
        <w:spacing w:after="140"/>
      </w:pPr>
      <w:r>
        <w:rPr>
          <w:b w:val="0"/>
          <w:i w:val="0"/>
        </w:rPr>
        <w:t>Equal initial weights have the highest Sharpe of these four in development and validation. The uncapped fitted allocation has negative cash-excess Sharpe throughout validation despite positive CAGR. Growth and Sharpe answer different questions: a cash-heavy portfolio can have a high fitted Sharpe while delivering much less absolute growth.</w:t>
      </w:r>
    </w:p>
    <w:p>
      <w:pPr>
        <w:pStyle w:val="Heading1"/>
        <w:pageBreakBefore/>
      </w:pPr>
      <w:r>
        <w:t>Development Equity and Drawdown</w:t>
      </w:r>
    </w:p>
    <w:p>
      <w:pPr>
        <w:keepNext/>
        <w:spacing w:after="0"/>
      </w:pPr>
      <w:r>
        <w:drawing>
          <wp:inline xmlns:a="http://schemas.openxmlformats.org/drawingml/2006/main" xmlns:pic="http://schemas.openxmlformats.org/drawingml/2006/picture">
            <wp:extent cx="5943600" cy="4617720"/>
            <wp:docPr id="1" name="Picture 1" descr="Figure 1. Development, 2017–2020. Five independent $1,000 accounts at baseline costs. The upper panel shows equity and the lower panel daily peak-to-trough drawdown. Axes are specific to this period; no stage returns are concatenated."/>
            <wp:cNvGraphicFramePr>
              <a:graphicFrameLocks noChangeAspect="1"/>
            </wp:cNvGraphicFramePr>
            <a:graphic>
              <a:graphicData uri="http://schemas.openxmlformats.org/drawingml/2006/picture">
                <pic:pic>
                  <pic:nvPicPr>
                    <pic:cNvPr id="0" name="development_baseline.png"/>
                    <pic:cNvPicPr/>
                  </pic:nvPicPr>
                  <pic:blipFill>
                    <a:blip r:embed="rId8"/>
                    <a:stretch>
                      <a:fillRect/>
                    </a:stretch>
                  </pic:blipFill>
                  <pic:spPr>
                    <a:xfrm>
                      <a:off x="0" y="0"/>
                      <a:ext cx="5943600" cy="4617720"/>
                    </a:xfrm>
                    <a:prstGeom prst="rect"/>
                  </pic:spPr>
                </pic:pic>
              </a:graphicData>
            </a:graphic>
          </wp:inline>
        </w:drawing>
      </w:r>
    </w:p>
    <w:p>
      <w:pPr>
        <w:pStyle w:val="Caption"/>
      </w:pPr>
      <w:r>
        <w:t>Figure 1. Development, 2017–2020. Five independent $1,000 accounts at baseline costs. The upper panel shows equity and the lower panel daily peak-to-trough drawdown. Axes are specific to this period; no stage returns are concatenated.</w:t>
      </w:r>
    </w:p>
    <w:p>
      <w:pPr>
        <w:spacing w:after="140"/>
      </w:pPr>
      <w:r>
        <w:rPr>
          <w:b w:val="0"/>
          <w:i w:val="0"/>
        </w:rPr>
        <w:t>QQQ buy-and-hold compounds faster than all four mixtures in this window, but its maximum daily drawdown is −28.56%. Equal initial allocation has the highest mixture Sharpe of 1.506, 17.43% CAGR and −6.56% drawdown. This trade-off is not equivalent to beating buy-and-hold on every measure.</w:t>
      </w:r>
    </w:p>
    <w:p>
      <w:pPr>
        <w:spacing w:after="140"/>
      </w:pPr>
      <w:r>
        <w:rPr>
          <w:b w:val="0"/>
          <w:i w:val="0"/>
        </w:rPr>
        <w:t>The final portfolio choices were not locked before this development window. This is a backward application of subsequently selected sleeves and weights, not proof of an implementable 2017 selection process.</w:t>
      </w:r>
    </w:p>
    <w:p>
      <w:pPr>
        <w:pStyle w:val="Heading1"/>
        <w:pageBreakBefore/>
      </w:pPr>
      <w:r>
        <w:t>Validation Equity and Drawdown</w:t>
      </w:r>
    </w:p>
    <w:p>
      <w:pPr>
        <w:keepNext/>
        <w:spacing w:after="0"/>
      </w:pPr>
      <w:r>
        <w:drawing>
          <wp:inline xmlns:a="http://schemas.openxmlformats.org/drawingml/2006/main" xmlns:pic="http://schemas.openxmlformats.org/drawingml/2006/picture">
            <wp:extent cx="5943600" cy="4617720"/>
            <wp:docPr id="2" name="Picture 2" descr="Figure 2. Validation, 2021–2023. The same definitions and initial weights restart with $1,000 and no inherited holdings. Baseline costs and daily drawdown conventions match Figure 1; axis scales differ."/>
            <wp:cNvGraphicFramePr>
              <a:graphicFrameLocks noChangeAspect="1"/>
            </wp:cNvGraphicFramePr>
            <a:graphic>
              <a:graphicData uri="http://schemas.openxmlformats.org/drawingml/2006/picture">
                <pic:pic>
                  <pic:nvPicPr>
                    <pic:cNvPr id="0" name="validation_baseline.png"/>
                    <pic:cNvPicPr/>
                  </pic:nvPicPr>
                  <pic:blipFill>
                    <a:blip r:embed="rId9"/>
                    <a:stretch>
                      <a:fillRect/>
                    </a:stretch>
                  </pic:blipFill>
                  <pic:spPr>
                    <a:xfrm>
                      <a:off x="0" y="0"/>
                      <a:ext cx="5943600" cy="4617720"/>
                    </a:xfrm>
                    <a:prstGeom prst="rect"/>
                  </pic:spPr>
                </pic:pic>
              </a:graphicData>
            </a:graphic>
          </wp:inline>
        </w:drawing>
      </w:r>
    </w:p>
    <w:p>
      <w:pPr>
        <w:pStyle w:val="Caption"/>
      </w:pPr>
      <w:r>
        <w:t>Figure 2. Validation, 2021–2023. The same definitions and initial weights restart with $1,000 and no inherited holdings. Baseline costs and daily drawdown conventions match Figure 1; axis scales differ.</w:t>
      </w:r>
    </w:p>
    <w:p>
      <w:pPr>
        <w:spacing w:after="140"/>
      </w:pPr>
      <w:r>
        <w:rPr>
          <w:b w:val="0"/>
          <w:i w:val="0"/>
        </w:rPr>
        <w:t>Validation is the weak period. The daily-cap fit returns 6.90% CAGR with 0.381 Sharpe and −17.52% drawdown. Equal initial allocation has 0.473 Sharpe. The uncapped fit earns 1.82% CAGR with −0.243 cash-excess Sharpe and −9.70% drawdown; a positive nominal CAGR does not imply outperformance of the matched cash reference.</w:t>
      </w:r>
    </w:p>
    <w:p>
      <w:pPr>
        <w:spacing w:after="140"/>
      </w:pPr>
      <w:r>
        <w:rPr>
          <w:b w:val="0"/>
          <w:i w:val="0"/>
        </w:rPr>
        <w:t>The UNG sleeve reaches 35.18% of daily-cap portfolio capital on the validation path, with 41 daily valuations above one-third. These saved weights have not been altered to repair the breach.</w:t>
      </w:r>
    </w:p>
    <w:p>
      <w:pPr>
        <w:pStyle w:val="Heading1"/>
        <w:pageBreakBefore/>
      </w:pPr>
      <w:r>
        <w:t>Historical OOS Equity and Drawdown</w:t>
      </w:r>
    </w:p>
    <w:p>
      <w:pPr>
        <w:keepNext/>
        <w:spacing w:after="0"/>
      </w:pPr>
      <w:r>
        <w:drawing>
          <wp:inline xmlns:a="http://schemas.openxmlformats.org/drawingml/2006/main" xmlns:pic="http://schemas.openxmlformats.org/drawingml/2006/picture">
            <wp:extent cx="5943600" cy="4617720"/>
            <wp:docPr id="3" name="Picture 3" descr="Figure 3. Historical OOS, January 2024–October 15, 2026. The configurations, ETF pruning and optimized weights were chosen after this history was examined. The curves are therefore descriptive fitted-window comparisons, not untouched portfolio OOS evidence."/>
            <wp:cNvGraphicFramePr>
              <a:graphicFrameLocks noChangeAspect="1"/>
            </wp:cNvGraphicFramePr>
            <a:graphic>
              <a:graphicData uri="http://schemas.openxmlformats.org/drawingml/2006/picture">
                <pic:pic>
                  <pic:nvPicPr>
                    <pic:cNvPr id="0" name="historical_OOS_baseline.png"/>
                    <pic:cNvPicPr/>
                  </pic:nvPicPr>
                  <pic:blipFill>
                    <a:blip r:embed="rId10"/>
                    <a:stretch>
                      <a:fillRect/>
                    </a:stretch>
                  </pic:blipFill>
                  <pic:spPr>
                    <a:xfrm>
                      <a:off x="0" y="0"/>
                      <a:ext cx="5943600" cy="4617720"/>
                    </a:xfrm>
                    <a:prstGeom prst="rect"/>
                  </pic:spPr>
                </pic:pic>
              </a:graphicData>
            </a:graphic>
          </wp:inline>
        </w:drawing>
      </w:r>
    </w:p>
    <w:p>
      <w:pPr>
        <w:pStyle w:val="Caption"/>
      </w:pPr>
      <w:r>
        <w:t>Figure 3. Historical OOS, January 2024–October 15, 2026. The configurations, ETF pruning and optimized weights were chosen after this history was examined. The curves are therefore descriptive fitted-window comparisons, not untouched portfolio OOS evidence.</w:t>
      </w:r>
    </w:p>
    <w:p>
      <w:pPr>
        <w:spacing w:after="140"/>
      </w:pPr>
      <w:r>
        <w:rPr>
          <w:b w:val="0"/>
          <w:i w:val="0"/>
        </w:rPr>
        <w:t>The daily-cap mix has 2.481 Sharpe, 21.85% CAGR and −4.24% daily drawdown. The initial-only cap grows faster at 24.57% CAGR, while passive QQQ delivers 23.93% CAGR with a much larger −22.77% drawdown. The uncapped mix has the highest fitted Sharpe of 2.497 but only 6.86% CAGR; Sharpe alone does not express the growth preference.</w:t>
      </w:r>
    </w:p>
    <w:p>
      <w:pPr>
        <w:spacing w:after="140"/>
      </w:pPr>
      <w:r>
        <w:rPr>
          <w:b w:val="0"/>
          <w:i w:val="0"/>
        </w:rPr>
        <w:t>At 25-bp slippage, daily-cap Sharpe is 2.351 and CAGR is 20.50%. Validation at the same cost has only 0.272 Sharpe and 5.59% CAGR. Cost resilience in one fitted period does not resolve period instability or post-selection bias.</w:t>
      </w:r>
    </w:p>
    <w:p>
      <w:pPr>
        <w:pStyle w:val="Heading1"/>
        <w:pageBreakBefore/>
      </w:pPr>
      <w:r>
        <w:t>Correlation and Diversification</w:t>
      </w:r>
    </w:p>
    <w:p>
      <w:pPr>
        <w:keepNext/>
        <w:spacing w:after="0"/>
      </w:pPr>
      <w:r>
        <w:drawing>
          <wp:inline xmlns:a="http://schemas.openxmlformats.org/drawingml/2006/main" xmlns:pic="http://schemas.openxmlformats.org/drawingml/2006/picture">
            <wp:extent cx="5943600" cy="4297680"/>
            <wp:docPr id="4" name="Picture 4" descr="Figure 4. Pearson correlations of 700 aligned daily net active strategy returns in historical OOS, at baseline costs. All cash and flat periods remain included; these are not passive ETF price correlations or a spread-trading test."/>
            <wp:cNvGraphicFramePr>
              <a:graphicFrameLocks noChangeAspect="1"/>
            </wp:cNvGraphicFramePr>
            <a:graphic>
              <a:graphicData uri="http://schemas.openxmlformats.org/drawingml/2006/picture">
                <pic:pic>
                  <pic:nvPicPr>
                    <pic:cNvPr id="0" name="oos_strategy_correlations.png"/>
                    <pic:cNvPicPr/>
                  </pic:nvPicPr>
                  <pic:blipFill>
                    <a:blip r:embed="rId11"/>
                    <a:stretch>
                      <a:fillRect/>
                    </a:stretch>
                  </pic:blipFill>
                  <pic:spPr>
                    <a:xfrm>
                      <a:off x="0" y="0"/>
                      <a:ext cx="5943600" cy="4297680"/>
                    </a:xfrm>
                    <a:prstGeom prst="rect"/>
                  </pic:spPr>
                </pic:pic>
              </a:graphicData>
            </a:graphic>
          </wp:inline>
        </w:drawing>
      </w:r>
    </w:p>
    <w:p>
      <w:pPr>
        <w:pStyle w:val="Caption"/>
      </w:pPr>
      <w:r>
        <w:t>Figure 4. Pearson correlations of 700 aligned daily net active strategy returns in historical OOS, at baseline costs. All cash and flat periods remain included; these are not passive ETF price correlations or a spread-trading test.</w:t>
      </w:r>
    </w:p>
    <w:p>
      <w:pPr>
        <w:spacing w:after="140"/>
      </w:pPr>
      <w:r>
        <w:rPr>
          <w:b w:val="0"/>
          <w:i w:val="0"/>
        </w:rPr>
        <w:t>QQQ and FDN have the strongest active-return correlation, about 0.650. Most other pairs are much closer to zero; for example, GDX–UNG is −0.063. This provides a historical rationale for combining different sleeves, but correlations can shift with market conditions and trading states. Near-zero linear correlation does not exclude common tail risk.</w:t>
      </w:r>
    </w:p>
    <w:p>
      <w:pPr>
        <w:spacing w:after="140"/>
      </w:pPr>
      <w:r>
        <w:rPr>
          <w:b w:val="0"/>
          <w:i w:val="0"/>
        </w:rPr>
        <w:t>Removing SMH and XLK while retaining QQQ was a user-directed, post-OOS pruning decision. It reduces visible technology overlap in this selected set, but it is not an independently validated asset-selection rule. The portfolio’s smooth fitted path reflects both selected signals and selected allocation weights.</w:t>
      </w:r>
    </w:p>
    <w:p>
      <w:pPr>
        <w:pStyle w:val="Heading1"/>
        <w:pageBreakBefore/>
      </w:pPr>
      <w:r>
        <w:t>Alpha and Beta</w:t>
      </w:r>
    </w:p>
    <w:p>
      <w:pPr>
        <w:spacing w:after="140"/>
      </w:pPr>
      <w:r>
        <w:rPr>
          <w:b w:val="0"/>
          <w:i w:val="0"/>
        </w:rPr>
        <w:t>For each period and cost we regress net portfolio return minus matched cash on matched passive QQQ return minus cash. The intercept is annualized arithmetically by 252; beta is unitless. Both are descriptive, conditional on the selected sample and benchmark. Alpha is not CAGR, a causal skill estimate or unexplained variance.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1944"/>
        <w:gridCol w:w="1944"/>
        <w:gridCol w:w="1944"/>
        <w:gridCol w:w="1656"/>
        <w:gridCol w:w="1872"/>
      </w:tblGrid>
      <w:tr>
        <w:trPr>
          <w:cantSplit/>
          <w:tblHeader/>
        </w:trPr>
        <w:tc>
          <w:tcPr>
            <w:tcW w:type="dxa" w:w="1944"/>
            <w:vAlign w:val="center"/>
            <w:shd w:fill="F2F2F2"/>
          </w:tcPr>
          <w:p>
            <w:pPr>
              <w:spacing w:after="0" w:before="0" w:line="240" w:lineRule="auto"/>
            </w:pPr>
            <w:r>
              <w:rPr>
                <w:b/>
                <w:color w:val="000000"/>
                <w:sz w:val="21"/>
              </w:rPr>
              <w:t>Period</w:t>
            </w:r>
          </w:p>
        </w:tc>
        <w:tc>
          <w:tcPr>
            <w:tcW w:type="dxa" w:w="1944"/>
            <w:vAlign w:val="center"/>
            <w:shd w:fill="F2F2F2"/>
          </w:tcPr>
          <w:p>
            <w:pPr>
              <w:spacing w:after="0" w:before="0" w:line="240" w:lineRule="auto"/>
            </w:pPr>
            <w:r>
              <w:rPr>
                <w:b/>
                <w:color w:val="000000"/>
                <w:sz w:val="21"/>
              </w:rPr>
              <w:t>Portfolio</w:t>
            </w:r>
          </w:p>
        </w:tc>
        <w:tc>
          <w:tcPr>
            <w:tcW w:type="dxa" w:w="1944"/>
            <w:vAlign w:val="center"/>
            <w:shd w:fill="F2F2F2"/>
          </w:tcPr>
          <w:p>
            <w:pPr>
              <w:spacing w:after="0" w:before="0" w:line="240" w:lineRule="auto"/>
            </w:pPr>
            <w:r>
              <w:rPr>
                <w:b/>
                <w:color w:val="000000"/>
                <w:sz w:val="21"/>
              </w:rPr>
              <w:t>Annual alpha</w:t>
            </w:r>
          </w:p>
        </w:tc>
        <w:tc>
          <w:tcPr>
            <w:tcW w:type="dxa" w:w="1656"/>
            <w:vAlign w:val="center"/>
            <w:shd w:fill="F2F2F2"/>
          </w:tcPr>
          <w:p>
            <w:pPr>
              <w:spacing w:after="0" w:before="0" w:line="240" w:lineRule="auto"/>
            </w:pPr>
            <w:r>
              <w:rPr>
                <w:b/>
                <w:color w:val="000000"/>
                <w:sz w:val="21"/>
              </w:rPr>
              <w:t>QQQ beta</w:t>
            </w:r>
          </w:p>
        </w:tc>
        <w:tc>
          <w:tcPr>
            <w:tcW w:type="dxa" w:w="1872"/>
            <w:vAlign w:val="center"/>
            <w:shd w:fill="F2F2F2"/>
          </w:tcPr>
          <w:p>
            <w:pPr>
              <w:spacing w:after="0" w:before="0" w:line="240" w:lineRule="auto"/>
            </w:pPr>
            <w:r>
              <w:rPr>
                <w:b/>
                <w:color w:val="000000"/>
                <w:sz w:val="21"/>
              </w:rPr>
              <w:t>R squared</w:t>
            </w:r>
          </w:p>
        </w:tc>
      </w:tr>
      <w:tr>
        <w:trPr>
          <w:cantSplit/>
        </w:trPr>
        <w:tc>
          <w:tcPr>
            <w:tcW w:type="dxa" w:w="1944"/>
            <w:vAlign w:val="center"/>
          </w:tcPr>
          <w:p>
            <w:pPr>
              <w:spacing w:after="0" w:before="0" w:line="240" w:lineRule="auto"/>
            </w:pPr>
            <w:r>
              <w:rPr>
                <w:b w:val="0"/>
                <w:color w:val="000000"/>
                <w:sz w:val="21"/>
              </w:rPr>
              <w:t>Development</w:t>
            </w:r>
          </w:p>
        </w:tc>
        <w:tc>
          <w:tcPr>
            <w:tcW w:type="dxa" w:w="1944"/>
            <w:vAlign w:val="center"/>
          </w:tcPr>
          <w:p>
            <w:pPr>
              <w:spacing w:after="0" w:before="0" w:line="240" w:lineRule="auto"/>
            </w:pPr>
            <w:r>
              <w:rPr>
                <w:b w:val="0"/>
                <w:color w:val="000000"/>
                <w:sz w:val="21"/>
              </w:rPr>
              <w:t>Daily cap</w:t>
            </w:r>
          </w:p>
        </w:tc>
        <w:tc>
          <w:tcPr>
            <w:tcW w:type="dxa" w:w="1944"/>
            <w:vAlign w:val="center"/>
          </w:tcPr>
          <w:p>
            <w:pPr>
              <w:spacing w:after="0" w:before="0" w:line="240" w:lineRule="auto"/>
            </w:pPr>
            <w:r>
              <w:rPr>
                <w:b w:val="0"/>
                <w:color w:val="000000"/>
                <w:sz w:val="21"/>
              </w:rPr>
              <w:t>6.34%</w:t>
            </w:r>
          </w:p>
        </w:tc>
        <w:tc>
          <w:tcPr>
            <w:tcW w:type="dxa" w:w="1656"/>
            <w:vAlign w:val="center"/>
          </w:tcPr>
          <w:p>
            <w:pPr>
              <w:spacing w:after="0" w:before="0" w:line="240" w:lineRule="auto"/>
            </w:pPr>
            <w:r>
              <w:rPr>
                <w:b w:val="0"/>
                <w:color w:val="000000"/>
                <w:sz w:val="21"/>
              </w:rPr>
              <w:t>0.194</w:t>
            </w:r>
          </w:p>
        </w:tc>
        <w:tc>
          <w:tcPr>
            <w:tcW w:type="dxa" w:w="1872"/>
            <w:vAlign w:val="center"/>
          </w:tcPr>
          <w:p>
            <w:pPr>
              <w:spacing w:after="0" w:before="0" w:line="240" w:lineRule="auto"/>
            </w:pPr>
            <w:r>
              <w:rPr>
                <w:b w:val="0"/>
                <w:color w:val="000000"/>
                <w:sz w:val="21"/>
              </w:rPr>
              <w:t>0.287</w:t>
            </w:r>
          </w:p>
        </w:tc>
      </w:tr>
      <w:tr>
        <w:trPr>
          <w:cantSplit/>
        </w:trPr>
        <w:tc>
          <w:tcPr>
            <w:tcW w:type="dxa" w:w="1944"/>
            <w:vAlign w:val="center"/>
          </w:tcPr>
          <w:p>
            <w:pPr>
              <w:spacing w:after="0" w:before="0" w:line="240" w:lineRule="auto"/>
            </w:pPr>
            <w:r>
              <w:rPr>
                <w:b w:val="0"/>
                <w:color w:val="000000"/>
                <w:sz w:val="21"/>
              </w:rPr>
              <w:t>Development</w:t>
            </w:r>
          </w:p>
        </w:tc>
        <w:tc>
          <w:tcPr>
            <w:tcW w:type="dxa" w:w="1944"/>
            <w:vAlign w:val="center"/>
          </w:tcPr>
          <w:p>
            <w:pPr>
              <w:spacing w:after="0" w:before="0" w:line="240" w:lineRule="auto"/>
            </w:pPr>
            <w:r>
              <w:rPr>
                <w:b w:val="0"/>
                <w:color w:val="000000"/>
                <w:sz w:val="21"/>
              </w:rPr>
              <w:t>Initial cap</w:t>
            </w:r>
          </w:p>
        </w:tc>
        <w:tc>
          <w:tcPr>
            <w:tcW w:type="dxa" w:w="1944"/>
            <w:vAlign w:val="center"/>
          </w:tcPr>
          <w:p>
            <w:pPr>
              <w:spacing w:after="0" w:before="0" w:line="240" w:lineRule="auto"/>
            </w:pPr>
            <w:r>
              <w:rPr>
                <w:b w:val="0"/>
                <w:color w:val="000000"/>
                <w:sz w:val="21"/>
              </w:rPr>
              <w:t>7.09%</w:t>
            </w:r>
          </w:p>
        </w:tc>
        <w:tc>
          <w:tcPr>
            <w:tcW w:type="dxa" w:w="1656"/>
            <w:vAlign w:val="center"/>
          </w:tcPr>
          <w:p>
            <w:pPr>
              <w:spacing w:after="0" w:before="0" w:line="240" w:lineRule="auto"/>
            </w:pPr>
            <w:r>
              <w:rPr>
                <w:b w:val="0"/>
                <w:color w:val="000000"/>
                <w:sz w:val="21"/>
              </w:rPr>
              <w:t>0.216</w:t>
            </w:r>
          </w:p>
        </w:tc>
        <w:tc>
          <w:tcPr>
            <w:tcW w:type="dxa" w:w="1872"/>
            <w:vAlign w:val="center"/>
          </w:tcPr>
          <w:p>
            <w:pPr>
              <w:spacing w:after="0" w:before="0" w:line="240" w:lineRule="auto"/>
            </w:pPr>
            <w:r>
              <w:rPr>
                <w:b w:val="0"/>
                <w:color w:val="000000"/>
                <w:sz w:val="21"/>
              </w:rPr>
              <w:t>0.274</w:t>
            </w:r>
          </w:p>
        </w:tc>
      </w:tr>
      <w:tr>
        <w:trPr>
          <w:cantSplit/>
        </w:trPr>
        <w:tc>
          <w:tcPr>
            <w:tcW w:type="dxa" w:w="1944"/>
            <w:vAlign w:val="center"/>
          </w:tcPr>
          <w:p>
            <w:pPr>
              <w:spacing w:after="0" w:before="0" w:line="240" w:lineRule="auto"/>
            </w:pPr>
            <w:r>
              <w:rPr>
                <w:b w:val="0"/>
                <w:color w:val="000000"/>
                <w:sz w:val="21"/>
              </w:rPr>
              <w:t>Development</w:t>
            </w:r>
          </w:p>
        </w:tc>
        <w:tc>
          <w:tcPr>
            <w:tcW w:type="dxa" w:w="1944"/>
            <w:vAlign w:val="center"/>
          </w:tcPr>
          <w:p>
            <w:pPr>
              <w:spacing w:after="0" w:before="0" w:line="240" w:lineRule="auto"/>
            </w:pPr>
            <w:r>
              <w:rPr>
                <w:b w:val="0"/>
                <w:color w:val="000000"/>
                <w:sz w:val="21"/>
              </w:rPr>
              <w:t>Uncapped</w:t>
            </w:r>
          </w:p>
        </w:tc>
        <w:tc>
          <w:tcPr>
            <w:tcW w:type="dxa" w:w="1944"/>
            <w:vAlign w:val="center"/>
          </w:tcPr>
          <w:p>
            <w:pPr>
              <w:spacing w:after="0" w:before="0" w:line="240" w:lineRule="auto"/>
            </w:pPr>
            <w:r>
              <w:rPr>
                <w:b w:val="0"/>
                <w:color w:val="000000"/>
                <w:sz w:val="21"/>
              </w:rPr>
              <w:t>2.17%</w:t>
            </w:r>
          </w:p>
        </w:tc>
        <w:tc>
          <w:tcPr>
            <w:tcW w:type="dxa" w:w="1656"/>
            <w:vAlign w:val="center"/>
          </w:tcPr>
          <w:p>
            <w:pPr>
              <w:spacing w:after="0" w:before="0" w:line="240" w:lineRule="auto"/>
            </w:pPr>
            <w:r>
              <w:rPr>
                <w:b w:val="0"/>
                <w:color w:val="000000"/>
                <w:sz w:val="21"/>
              </w:rPr>
              <w:t>0.036</w:t>
            </w:r>
          </w:p>
        </w:tc>
        <w:tc>
          <w:tcPr>
            <w:tcW w:type="dxa" w:w="1872"/>
            <w:vAlign w:val="center"/>
          </w:tcPr>
          <w:p>
            <w:pPr>
              <w:spacing w:after="0" w:before="0" w:line="240" w:lineRule="auto"/>
            </w:pPr>
            <w:r>
              <w:rPr>
                <w:b w:val="0"/>
                <w:color w:val="000000"/>
                <w:sz w:val="21"/>
              </w:rPr>
              <w:t>0.130</w:t>
            </w:r>
          </w:p>
        </w:tc>
      </w:tr>
      <w:tr>
        <w:trPr>
          <w:cantSplit/>
        </w:trPr>
        <w:tc>
          <w:tcPr>
            <w:tcW w:type="dxa" w:w="1944"/>
            <w:vAlign w:val="center"/>
          </w:tcPr>
          <w:p>
            <w:pPr>
              <w:spacing w:after="0" w:before="0" w:line="240" w:lineRule="auto"/>
            </w:pPr>
            <w:r>
              <w:rPr>
                <w:b w:val="0"/>
                <w:color w:val="000000"/>
                <w:sz w:val="21"/>
              </w:rPr>
              <w:t>Development</w:t>
            </w:r>
          </w:p>
        </w:tc>
        <w:tc>
          <w:tcPr>
            <w:tcW w:type="dxa" w:w="1944"/>
            <w:vAlign w:val="center"/>
          </w:tcPr>
          <w:p>
            <w:pPr>
              <w:spacing w:after="0" w:before="0" w:line="240" w:lineRule="auto"/>
            </w:pPr>
            <w:r>
              <w:rPr>
                <w:b w:val="0"/>
                <w:color w:val="000000"/>
                <w:sz w:val="21"/>
              </w:rPr>
              <w:t>Equal initial</w:t>
            </w:r>
          </w:p>
        </w:tc>
        <w:tc>
          <w:tcPr>
            <w:tcW w:type="dxa" w:w="1944"/>
            <w:vAlign w:val="center"/>
          </w:tcPr>
          <w:p>
            <w:pPr>
              <w:spacing w:after="0" w:before="0" w:line="240" w:lineRule="auto"/>
            </w:pPr>
            <w:r>
              <w:rPr>
                <w:b w:val="0"/>
                <w:color w:val="000000"/>
                <w:sz w:val="21"/>
              </w:rPr>
              <w:t>6.65%</w:t>
            </w:r>
          </w:p>
        </w:tc>
        <w:tc>
          <w:tcPr>
            <w:tcW w:type="dxa" w:w="1656"/>
            <w:vAlign w:val="center"/>
          </w:tcPr>
          <w:p>
            <w:pPr>
              <w:spacing w:after="0" w:before="0" w:line="240" w:lineRule="auto"/>
            </w:pPr>
            <w:r>
              <w:rPr>
                <w:b w:val="0"/>
                <w:color w:val="000000"/>
                <w:sz w:val="21"/>
              </w:rPr>
              <w:t>0.276</w:t>
            </w:r>
          </w:p>
        </w:tc>
        <w:tc>
          <w:tcPr>
            <w:tcW w:type="dxa" w:w="1872"/>
            <w:vAlign w:val="center"/>
          </w:tcPr>
          <w:p>
            <w:pPr>
              <w:spacing w:after="0" w:before="0" w:line="240" w:lineRule="auto"/>
            </w:pPr>
            <w:r>
              <w:rPr>
                <w:b w:val="0"/>
                <w:color w:val="000000"/>
                <w:sz w:val="21"/>
              </w:rPr>
              <w:t>0.515</w:t>
            </w:r>
          </w:p>
        </w:tc>
      </w:tr>
      <w:tr>
        <w:trPr>
          <w:cantSplit/>
        </w:trPr>
        <w:tc>
          <w:tcPr>
            <w:tcW w:type="dxa" w:w="1944"/>
            <w:vAlign w:val="center"/>
          </w:tcPr>
          <w:p>
            <w:pPr>
              <w:spacing w:after="0" w:before="0" w:line="240" w:lineRule="auto"/>
            </w:pPr>
            <w:r>
              <w:rPr>
                <w:b w:val="0"/>
                <w:color w:val="000000"/>
                <w:sz w:val="21"/>
              </w:rPr>
              <w:t>Validation</w:t>
            </w:r>
          </w:p>
        </w:tc>
        <w:tc>
          <w:tcPr>
            <w:tcW w:type="dxa" w:w="1944"/>
            <w:vAlign w:val="center"/>
          </w:tcPr>
          <w:p>
            <w:pPr>
              <w:spacing w:after="0" w:before="0" w:line="240" w:lineRule="auto"/>
            </w:pPr>
            <w:r>
              <w:rPr>
                <w:b w:val="0"/>
                <w:color w:val="000000"/>
                <w:sz w:val="21"/>
              </w:rPr>
              <w:t>Daily cap</w:t>
            </w:r>
          </w:p>
        </w:tc>
        <w:tc>
          <w:tcPr>
            <w:tcW w:type="dxa" w:w="1944"/>
            <w:vAlign w:val="center"/>
          </w:tcPr>
          <w:p>
            <w:pPr>
              <w:spacing w:after="0" w:before="0" w:line="240" w:lineRule="auto"/>
            </w:pPr>
            <w:r>
              <w:rPr>
                <w:b w:val="0"/>
                <w:color w:val="000000"/>
                <w:sz w:val="21"/>
              </w:rPr>
              <w:t>2.65%</w:t>
            </w:r>
          </w:p>
        </w:tc>
        <w:tc>
          <w:tcPr>
            <w:tcW w:type="dxa" w:w="1656"/>
            <w:vAlign w:val="center"/>
          </w:tcPr>
          <w:p>
            <w:pPr>
              <w:spacing w:after="0" w:before="0" w:line="240" w:lineRule="auto"/>
            </w:pPr>
            <w:r>
              <w:rPr>
                <w:b w:val="0"/>
                <w:color w:val="000000"/>
                <w:sz w:val="21"/>
              </w:rPr>
              <w:t>0.179</w:t>
            </w:r>
          </w:p>
        </w:tc>
        <w:tc>
          <w:tcPr>
            <w:tcW w:type="dxa" w:w="1872"/>
            <w:vAlign w:val="center"/>
          </w:tcPr>
          <w:p>
            <w:pPr>
              <w:spacing w:after="0" w:before="0" w:line="240" w:lineRule="auto"/>
            </w:pPr>
            <w:r>
              <w:rPr>
                <w:b w:val="0"/>
                <w:color w:val="000000"/>
                <w:sz w:val="21"/>
              </w:rPr>
              <w:t>0.143</w:t>
            </w:r>
          </w:p>
        </w:tc>
      </w:tr>
      <w:tr>
        <w:trPr>
          <w:cantSplit/>
        </w:trPr>
        <w:tc>
          <w:tcPr>
            <w:tcW w:type="dxa" w:w="1944"/>
            <w:vAlign w:val="center"/>
          </w:tcPr>
          <w:p>
            <w:pPr>
              <w:spacing w:after="0" w:before="0" w:line="240" w:lineRule="auto"/>
            </w:pPr>
            <w:r>
              <w:rPr>
                <w:b w:val="0"/>
                <w:color w:val="000000"/>
                <w:sz w:val="21"/>
              </w:rPr>
              <w:t>Validation</w:t>
            </w:r>
          </w:p>
        </w:tc>
        <w:tc>
          <w:tcPr>
            <w:tcW w:type="dxa" w:w="1944"/>
            <w:vAlign w:val="center"/>
          </w:tcPr>
          <w:p>
            <w:pPr>
              <w:spacing w:after="0" w:before="0" w:line="240" w:lineRule="auto"/>
            </w:pPr>
            <w:r>
              <w:rPr>
                <w:b w:val="0"/>
                <w:color w:val="000000"/>
                <w:sz w:val="21"/>
              </w:rPr>
              <w:t>Initial cap</w:t>
            </w:r>
          </w:p>
        </w:tc>
        <w:tc>
          <w:tcPr>
            <w:tcW w:type="dxa" w:w="1944"/>
            <w:vAlign w:val="center"/>
          </w:tcPr>
          <w:p>
            <w:pPr>
              <w:spacing w:after="0" w:before="0" w:line="240" w:lineRule="auto"/>
            </w:pPr>
            <w:r>
              <w:rPr>
                <w:b w:val="0"/>
                <w:color w:val="000000"/>
                <w:sz w:val="21"/>
              </w:rPr>
              <w:t>3.44%</w:t>
            </w:r>
          </w:p>
        </w:tc>
        <w:tc>
          <w:tcPr>
            <w:tcW w:type="dxa" w:w="1656"/>
            <w:vAlign w:val="center"/>
          </w:tcPr>
          <w:p>
            <w:pPr>
              <w:spacing w:after="0" w:before="0" w:line="240" w:lineRule="auto"/>
            </w:pPr>
            <w:r>
              <w:rPr>
                <w:b w:val="0"/>
                <w:color w:val="000000"/>
                <w:sz w:val="21"/>
              </w:rPr>
              <w:t>0.197</w:t>
            </w:r>
          </w:p>
        </w:tc>
        <w:tc>
          <w:tcPr>
            <w:tcW w:type="dxa" w:w="1872"/>
            <w:vAlign w:val="center"/>
          </w:tcPr>
          <w:p>
            <w:pPr>
              <w:spacing w:after="0" w:before="0" w:line="240" w:lineRule="auto"/>
            </w:pPr>
            <w:r>
              <w:rPr>
                <w:b w:val="0"/>
                <w:color w:val="000000"/>
                <w:sz w:val="21"/>
              </w:rPr>
              <w:t>0.140</w:t>
            </w:r>
          </w:p>
        </w:tc>
      </w:tr>
      <w:tr>
        <w:trPr>
          <w:cantSplit/>
        </w:trPr>
        <w:tc>
          <w:tcPr>
            <w:tcW w:type="dxa" w:w="1944"/>
            <w:vAlign w:val="center"/>
          </w:tcPr>
          <w:p>
            <w:pPr>
              <w:spacing w:after="0" w:before="0" w:line="240" w:lineRule="auto"/>
            </w:pPr>
            <w:r>
              <w:rPr>
                <w:b w:val="0"/>
                <w:color w:val="000000"/>
                <w:sz w:val="21"/>
              </w:rPr>
              <w:t>Validation</w:t>
            </w:r>
          </w:p>
        </w:tc>
        <w:tc>
          <w:tcPr>
            <w:tcW w:type="dxa" w:w="1944"/>
            <w:vAlign w:val="center"/>
          </w:tcPr>
          <w:p>
            <w:pPr>
              <w:spacing w:after="0" w:before="0" w:line="240" w:lineRule="auto"/>
            </w:pPr>
            <w:r>
              <w:rPr>
                <w:b w:val="0"/>
                <w:color w:val="000000"/>
                <w:sz w:val="21"/>
              </w:rPr>
              <w:t>Uncapped</w:t>
            </w:r>
          </w:p>
        </w:tc>
        <w:tc>
          <w:tcPr>
            <w:tcW w:type="dxa" w:w="1944"/>
            <w:vAlign w:val="center"/>
          </w:tcPr>
          <w:p>
            <w:pPr>
              <w:spacing w:after="0" w:before="0" w:line="240" w:lineRule="auto"/>
            </w:pPr>
            <w:r>
              <w:rPr>
                <w:b w:val="0"/>
                <w:color w:val="000000"/>
                <w:sz w:val="21"/>
              </w:rPr>
              <w:t>-1.69%</w:t>
            </w:r>
          </w:p>
        </w:tc>
        <w:tc>
          <w:tcPr>
            <w:tcW w:type="dxa" w:w="1656"/>
            <w:vAlign w:val="center"/>
          </w:tcPr>
          <w:p>
            <w:pPr>
              <w:spacing w:after="0" w:before="0" w:line="240" w:lineRule="auto"/>
            </w:pPr>
            <w:r>
              <w:rPr>
                <w:b w:val="0"/>
                <w:color w:val="000000"/>
                <w:sz w:val="21"/>
              </w:rPr>
              <w:t>0.064</w:t>
            </w:r>
          </w:p>
        </w:tc>
        <w:tc>
          <w:tcPr>
            <w:tcW w:type="dxa" w:w="1872"/>
            <w:vAlign w:val="center"/>
          </w:tcPr>
          <w:p>
            <w:pPr>
              <w:spacing w:after="0" w:before="0" w:line="240" w:lineRule="auto"/>
            </w:pPr>
            <w:r>
              <w:rPr>
                <w:b w:val="0"/>
                <w:color w:val="000000"/>
                <w:sz w:val="21"/>
              </w:rPr>
              <w:t>0.116</w:t>
            </w:r>
          </w:p>
        </w:tc>
      </w:tr>
      <w:tr>
        <w:trPr>
          <w:cantSplit/>
        </w:trPr>
        <w:tc>
          <w:tcPr>
            <w:tcW w:type="dxa" w:w="1944"/>
            <w:vAlign w:val="center"/>
          </w:tcPr>
          <w:p>
            <w:pPr>
              <w:spacing w:after="0" w:before="0" w:line="240" w:lineRule="auto"/>
            </w:pPr>
            <w:r>
              <w:rPr>
                <w:b w:val="0"/>
                <w:color w:val="000000"/>
                <w:sz w:val="21"/>
              </w:rPr>
              <w:t>Validation</w:t>
            </w:r>
          </w:p>
        </w:tc>
        <w:tc>
          <w:tcPr>
            <w:tcW w:type="dxa" w:w="1944"/>
            <w:vAlign w:val="center"/>
          </w:tcPr>
          <w:p>
            <w:pPr>
              <w:spacing w:after="0" w:before="0" w:line="240" w:lineRule="auto"/>
            </w:pPr>
            <w:r>
              <w:rPr>
                <w:b w:val="0"/>
                <w:color w:val="000000"/>
                <w:sz w:val="21"/>
              </w:rPr>
              <w:t>Equal initial</w:t>
            </w:r>
          </w:p>
        </w:tc>
        <w:tc>
          <w:tcPr>
            <w:tcW w:type="dxa" w:w="1944"/>
            <w:vAlign w:val="center"/>
          </w:tcPr>
          <w:p>
            <w:pPr>
              <w:spacing w:after="0" w:before="0" w:line="240" w:lineRule="auto"/>
            </w:pPr>
            <w:r>
              <w:rPr>
                <w:b w:val="0"/>
                <w:color w:val="000000"/>
                <w:sz w:val="21"/>
              </w:rPr>
              <w:t>2.55%</w:t>
            </w:r>
          </w:p>
        </w:tc>
        <w:tc>
          <w:tcPr>
            <w:tcW w:type="dxa" w:w="1656"/>
            <w:vAlign w:val="center"/>
          </w:tcPr>
          <w:p>
            <w:pPr>
              <w:spacing w:after="0" w:before="0" w:line="240" w:lineRule="auto"/>
            </w:pPr>
            <w:r>
              <w:rPr>
                <w:b w:val="0"/>
                <w:color w:val="000000"/>
                <w:sz w:val="21"/>
              </w:rPr>
              <w:t>0.211</w:t>
            </w:r>
          </w:p>
        </w:tc>
        <w:tc>
          <w:tcPr>
            <w:tcW w:type="dxa" w:w="1872"/>
            <w:vAlign w:val="center"/>
          </w:tcPr>
          <w:p>
            <w:pPr>
              <w:spacing w:after="0" w:before="0" w:line="240" w:lineRule="auto"/>
            </w:pPr>
            <w:r>
              <w:rPr>
                <w:b w:val="0"/>
                <w:color w:val="000000"/>
                <w:sz w:val="21"/>
              </w:rPr>
              <w:t>0.279</w:t>
            </w:r>
          </w:p>
        </w:tc>
      </w:tr>
      <w:tr>
        <w:trPr>
          <w:cantSplit/>
        </w:trPr>
        <w:tc>
          <w:tcPr>
            <w:tcW w:type="dxa" w:w="1944"/>
            <w:vAlign w:val="center"/>
          </w:tcPr>
          <w:p>
            <w:pPr>
              <w:spacing w:after="0" w:before="0" w:line="240" w:lineRule="auto"/>
            </w:pPr>
            <w:r>
              <w:rPr>
                <w:b w:val="0"/>
                <w:color w:val="000000"/>
                <w:sz w:val="21"/>
              </w:rPr>
              <w:t>Historical OOS</w:t>
            </w:r>
          </w:p>
        </w:tc>
        <w:tc>
          <w:tcPr>
            <w:tcW w:type="dxa" w:w="1944"/>
            <w:vAlign w:val="center"/>
          </w:tcPr>
          <w:p>
            <w:pPr>
              <w:spacing w:after="0" w:before="0" w:line="240" w:lineRule="auto"/>
            </w:pPr>
            <w:r>
              <w:rPr>
                <w:b w:val="0"/>
                <w:color w:val="000000"/>
                <w:sz w:val="21"/>
              </w:rPr>
              <w:t>Daily cap</w:t>
            </w:r>
          </w:p>
        </w:tc>
        <w:tc>
          <w:tcPr>
            <w:tcW w:type="dxa" w:w="1944"/>
            <w:vAlign w:val="center"/>
          </w:tcPr>
          <w:p>
            <w:pPr>
              <w:spacing w:after="0" w:before="0" w:line="240" w:lineRule="auto"/>
            </w:pPr>
            <w:r>
              <w:rPr>
                <w:b w:val="0"/>
                <w:color w:val="000000"/>
                <w:sz w:val="21"/>
              </w:rPr>
              <w:t>13.78%</w:t>
            </w:r>
          </w:p>
        </w:tc>
        <w:tc>
          <w:tcPr>
            <w:tcW w:type="dxa" w:w="1656"/>
            <w:vAlign w:val="center"/>
          </w:tcPr>
          <w:p>
            <w:pPr>
              <w:spacing w:after="0" w:before="0" w:line="240" w:lineRule="auto"/>
            </w:pPr>
            <w:r>
              <w:rPr>
                <w:b w:val="0"/>
                <w:color w:val="000000"/>
                <w:sz w:val="21"/>
              </w:rPr>
              <w:t>0.159</w:t>
            </w:r>
          </w:p>
        </w:tc>
        <w:tc>
          <w:tcPr>
            <w:tcW w:type="dxa" w:w="1872"/>
            <w:vAlign w:val="center"/>
          </w:tcPr>
          <w:p>
            <w:pPr>
              <w:spacing w:after="0" w:before="0" w:line="240" w:lineRule="auto"/>
            </w:pPr>
            <w:r>
              <w:rPr>
                <w:b w:val="0"/>
                <w:color w:val="000000"/>
                <w:sz w:val="21"/>
              </w:rPr>
              <w:t>0.230</w:t>
            </w:r>
          </w:p>
        </w:tc>
      </w:tr>
      <w:tr>
        <w:trPr>
          <w:cantSplit/>
        </w:trPr>
        <w:tc>
          <w:tcPr>
            <w:tcW w:type="dxa" w:w="1944"/>
            <w:vAlign w:val="center"/>
          </w:tcPr>
          <w:p>
            <w:pPr>
              <w:spacing w:after="0" w:before="0" w:line="240" w:lineRule="auto"/>
            </w:pPr>
            <w:r>
              <w:rPr>
                <w:b w:val="0"/>
                <w:color w:val="000000"/>
                <w:sz w:val="21"/>
              </w:rPr>
              <w:t>Historical OOS</w:t>
            </w:r>
          </w:p>
        </w:tc>
        <w:tc>
          <w:tcPr>
            <w:tcW w:type="dxa" w:w="1944"/>
            <w:vAlign w:val="center"/>
          </w:tcPr>
          <w:p>
            <w:pPr>
              <w:spacing w:after="0" w:before="0" w:line="240" w:lineRule="auto"/>
            </w:pPr>
            <w:r>
              <w:rPr>
                <w:b w:val="0"/>
                <w:color w:val="000000"/>
                <w:sz w:val="21"/>
              </w:rPr>
              <w:t>Initial cap</w:t>
            </w:r>
          </w:p>
        </w:tc>
        <w:tc>
          <w:tcPr>
            <w:tcW w:type="dxa" w:w="1944"/>
            <w:vAlign w:val="center"/>
          </w:tcPr>
          <w:p>
            <w:pPr>
              <w:spacing w:after="0" w:before="0" w:line="240" w:lineRule="auto"/>
            </w:pPr>
            <w:r>
              <w:rPr>
                <w:b w:val="0"/>
                <w:color w:val="000000"/>
                <w:sz w:val="21"/>
              </w:rPr>
              <w:t>15.69%</w:t>
            </w:r>
          </w:p>
        </w:tc>
        <w:tc>
          <w:tcPr>
            <w:tcW w:type="dxa" w:w="1656"/>
            <w:vAlign w:val="center"/>
          </w:tcPr>
          <w:p>
            <w:pPr>
              <w:spacing w:after="0" w:before="0" w:line="240" w:lineRule="auto"/>
            </w:pPr>
            <w:r>
              <w:rPr>
                <w:b w:val="0"/>
                <w:color w:val="000000"/>
                <w:sz w:val="21"/>
              </w:rPr>
              <w:t>0.177</w:t>
            </w:r>
          </w:p>
        </w:tc>
        <w:tc>
          <w:tcPr>
            <w:tcW w:type="dxa" w:w="1872"/>
            <w:vAlign w:val="center"/>
          </w:tcPr>
          <w:p>
            <w:pPr>
              <w:spacing w:after="0" w:before="0" w:line="240" w:lineRule="auto"/>
            </w:pPr>
            <w:r>
              <w:rPr>
                <w:b w:val="0"/>
                <w:color w:val="000000"/>
                <w:sz w:val="21"/>
              </w:rPr>
              <w:t>0.222</w:t>
            </w:r>
          </w:p>
        </w:tc>
      </w:tr>
      <w:tr>
        <w:trPr>
          <w:cantSplit/>
        </w:trPr>
        <w:tc>
          <w:tcPr>
            <w:tcW w:type="dxa" w:w="1944"/>
            <w:vAlign w:val="center"/>
          </w:tcPr>
          <w:p>
            <w:pPr>
              <w:spacing w:after="0" w:before="0" w:line="240" w:lineRule="auto"/>
            </w:pPr>
            <w:r>
              <w:rPr>
                <w:b w:val="0"/>
                <w:color w:val="000000"/>
                <w:sz w:val="21"/>
              </w:rPr>
              <w:t>Historical OOS</w:t>
            </w:r>
          </w:p>
        </w:tc>
        <w:tc>
          <w:tcPr>
            <w:tcW w:type="dxa" w:w="1944"/>
            <w:vAlign w:val="center"/>
          </w:tcPr>
          <w:p>
            <w:pPr>
              <w:spacing w:after="0" w:before="0" w:line="240" w:lineRule="auto"/>
            </w:pPr>
            <w:r>
              <w:rPr>
                <w:b w:val="0"/>
                <w:color w:val="000000"/>
                <w:sz w:val="21"/>
              </w:rPr>
              <w:t>Uncapped</w:t>
            </w:r>
          </w:p>
        </w:tc>
        <w:tc>
          <w:tcPr>
            <w:tcW w:type="dxa" w:w="1944"/>
            <w:vAlign w:val="center"/>
          </w:tcPr>
          <w:p>
            <w:pPr>
              <w:spacing w:after="0" w:before="0" w:line="240" w:lineRule="auto"/>
            </w:pPr>
            <w:r>
              <w:rPr>
                <w:b w:val="0"/>
                <w:color w:val="000000"/>
                <w:sz w:val="21"/>
              </w:rPr>
              <w:t>3.00%</w:t>
            </w:r>
          </w:p>
        </w:tc>
        <w:tc>
          <w:tcPr>
            <w:tcW w:type="dxa" w:w="1656"/>
            <w:vAlign w:val="center"/>
          </w:tcPr>
          <w:p>
            <w:pPr>
              <w:spacing w:after="0" w:before="0" w:line="240" w:lineRule="auto"/>
            </w:pPr>
            <w:r>
              <w:rPr>
                <w:b w:val="0"/>
                <w:color w:val="000000"/>
                <w:sz w:val="21"/>
              </w:rPr>
              <w:t>0.032</w:t>
            </w:r>
          </w:p>
        </w:tc>
        <w:tc>
          <w:tcPr>
            <w:tcW w:type="dxa" w:w="1872"/>
            <w:vAlign w:val="center"/>
          </w:tcPr>
          <w:p>
            <w:pPr>
              <w:spacing w:after="0" w:before="0" w:line="240" w:lineRule="auto"/>
            </w:pPr>
            <w:r>
              <w:rPr>
                <w:b w:val="0"/>
                <w:color w:val="000000"/>
                <w:sz w:val="21"/>
              </w:rPr>
              <w:t>0.202</w:t>
            </w:r>
          </w:p>
        </w:tc>
      </w:tr>
      <w:tr>
        <w:trPr>
          <w:cantSplit/>
        </w:trPr>
        <w:tc>
          <w:tcPr>
            <w:tcW w:type="dxa" w:w="1944"/>
            <w:vAlign w:val="center"/>
          </w:tcPr>
          <w:p>
            <w:pPr>
              <w:spacing w:after="0" w:before="0" w:line="240" w:lineRule="auto"/>
            </w:pPr>
            <w:r>
              <w:rPr>
                <w:b w:val="0"/>
                <w:color w:val="000000"/>
                <w:sz w:val="21"/>
              </w:rPr>
              <w:t>Historical OOS</w:t>
            </w:r>
          </w:p>
        </w:tc>
        <w:tc>
          <w:tcPr>
            <w:tcW w:type="dxa" w:w="1944"/>
            <w:vAlign w:val="center"/>
          </w:tcPr>
          <w:p>
            <w:pPr>
              <w:spacing w:after="0" w:before="0" w:line="240" w:lineRule="auto"/>
            </w:pPr>
            <w:r>
              <w:rPr>
                <w:b w:val="0"/>
                <w:color w:val="000000"/>
                <w:sz w:val="21"/>
              </w:rPr>
              <w:t>Equal initial</w:t>
            </w:r>
          </w:p>
        </w:tc>
        <w:tc>
          <w:tcPr>
            <w:tcW w:type="dxa" w:w="1944"/>
            <w:vAlign w:val="center"/>
          </w:tcPr>
          <w:p>
            <w:pPr>
              <w:spacing w:after="0" w:before="0" w:line="240" w:lineRule="auto"/>
            </w:pPr>
            <w:r>
              <w:rPr>
                <w:b w:val="0"/>
                <w:color w:val="000000"/>
                <w:sz w:val="21"/>
              </w:rPr>
              <w:t>10.79%</w:t>
            </w:r>
          </w:p>
        </w:tc>
        <w:tc>
          <w:tcPr>
            <w:tcW w:type="dxa" w:w="1656"/>
            <w:vAlign w:val="center"/>
          </w:tcPr>
          <w:p>
            <w:pPr>
              <w:spacing w:after="0" w:before="0" w:line="240" w:lineRule="auto"/>
            </w:pPr>
            <w:r>
              <w:rPr>
                <w:b w:val="0"/>
                <w:color w:val="000000"/>
                <w:sz w:val="21"/>
              </w:rPr>
              <w:t>0.249</w:t>
            </w:r>
          </w:p>
        </w:tc>
        <w:tc>
          <w:tcPr>
            <w:tcW w:type="dxa" w:w="1872"/>
            <w:vAlign w:val="center"/>
          </w:tcPr>
          <w:p>
            <w:pPr>
              <w:spacing w:after="0" w:before="0" w:line="240" w:lineRule="auto"/>
            </w:pPr>
            <w:r>
              <w:rPr>
                <w:b w:val="0"/>
                <w:color w:val="000000"/>
                <w:sz w:val="21"/>
              </w:rPr>
              <w:t>0.510</w:t>
            </w:r>
          </w:p>
        </w:tc>
      </w:tr>
    </w:tbl>
    <w:p>
      <w:pPr>
        <w:spacing w:after="0"/>
      </w:pPr>
    </w:p>
    <w:p>
      <w:pPr>
        <w:pStyle w:val="Heading2"/>
      </w:pPr>
      <w:r>
        <w:t>Joint exposure to all six passive ETFs</w:t>
      </w:r>
    </w:p>
    <w:p>
      <w:pPr>
        <w:spacing w:after="140"/>
      </w:pPr>
      <w:r>
        <w:rPr>
          <w:b w:val="0"/>
          <w:i w:val="0"/>
        </w:rPr>
        <w:t>We also fit an intercept and all six passive ETF cash-excess factors simultaneously. The following table shows the daily-cap portfolio; full results for four portfolios, three periods and four costs are in the supplement. These partial slopes are not allocation weights, and negative coefficients do not imply actual short positions.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936"/>
        <w:gridCol w:w="1512"/>
        <w:gridCol w:w="1152"/>
        <w:gridCol w:w="1152"/>
        <w:gridCol w:w="1152"/>
        <w:gridCol w:w="1152"/>
        <w:gridCol w:w="1152"/>
        <w:gridCol w:w="1152"/>
      </w:tblGrid>
      <w:tr>
        <w:trPr>
          <w:cantSplit/>
          <w:tblHeader/>
        </w:trPr>
        <w:tc>
          <w:tcPr>
            <w:tcW w:type="dxa" w:w="936"/>
            <w:vAlign w:val="center"/>
            <w:shd w:fill="F2F2F2"/>
          </w:tcPr>
          <w:p>
            <w:pPr>
              <w:spacing w:after="0" w:before="0" w:line="240" w:lineRule="auto"/>
            </w:pPr>
            <w:r>
              <w:rPr>
                <w:b/>
                <w:color w:val="000000"/>
                <w:sz w:val="21"/>
              </w:rPr>
              <w:t>Period</w:t>
            </w:r>
          </w:p>
        </w:tc>
        <w:tc>
          <w:tcPr>
            <w:tcW w:type="dxa" w:w="1512"/>
            <w:vAlign w:val="center"/>
            <w:shd w:fill="F2F2F2"/>
          </w:tcPr>
          <w:p>
            <w:pPr>
              <w:spacing w:after="0" w:before="0" w:line="240" w:lineRule="auto"/>
            </w:pPr>
            <w:r>
              <w:rPr>
                <w:b/>
                <w:color w:val="000000"/>
                <w:sz w:val="21"/>
              </w:rPr>
              <w:t>Alpha</w:t>
            </w:r>
          </w:p>
        </w:tc>
        <w:tc>
          <w:tcPr>
            <w:tcW w:type="dxa" w:w="1152"/>
            <w:vAlign w:val="center"/>
            <w:shd w:fill="F2F2F2"/>
          </w:tcPr>
          <w:p>
            <w:pPr>
              <w:spacing w:after="0" w:before="0" w:line="240" w:lineRule="auto"/>
            </w:pPr>
            <w:r>
              <w:rPr>
                <w:b/>
                <w:color w:val="000000"/>
                <w:sz w:val="21"/>
              </w:rPr>
              <w:t>GDX</w:t>
            </w:r>
          </w:p>
        </w:tc>
        <w:tc>
          <w:tcPr>
            <w:tcW w:type="dxa" w:w="1152"/>
            <w:vAlign w:val="center"/>
            <w:shd w:fill="F2F2F2"/>
          </w:tcPr>
          <w:p>
            <w:pPr>
              <w:spacing w:after="0" w:before="0" w:line="240" w:lineRule="auto"/>
            </w:pPr>
            <w:r>
              <w:rPr>
                <w:b/>
                <w:color w:val="000000"/>
                <w:sz w:val="21"/>
              </w:rPr>
              <w:t>FXI</w:t>
            </w:r>
          </w:p>
        </w:tc>
        <w:tc>
          <w:tcPr>
            <w:tcW w:type="dxa" w:w="1152"/>
            <w:vAlign w:val="center"/>
            <w:shd w:fill="F2F2F2"/>
          </w:tcPr>
          <w:p>
            <w:pPr>
              <w:spacing w:after="0" w:before="0" w:line="240" w:lineRule="auto"/>
            </w:pPr>
            <w:r>
              <w:rPr>
                <w:b/>
                <w:color w:val="000000"/>
                <w:sz w:val="21"/>
              </w:rPr>
              <w:t>QQQ</w:t>
            </w:r>
          </w:p>
        </w:tc>
        <w:tc>
          <w:tcPr>
            <w:tcW w:type="dxa" w:w="1152"/>
            <w:vAlign w:val="center"/>
            <w:shd w:fill="F2F2F2"/>
          </w:tcPr>
          <w:p>
            <w:pPr>
              <w:spacing w:after="0" w:before="0" w:line="240" w:lineRule="auto"/>
            </w:pPr>
            <w:r>
              <w:rPr>
                <w:b/>
                <w:color w:val="000000"/>
                <w:sz w:val="21"/>
              </w:rPr>
              <w:t>UNG</w:t>
            </w:r>
          </w:p>
        </w:tc>
        <w:tc>
          <w:tcPr>
            <w:tcW w:type="dxa" w:w="1152"/>
            <w:vAlign w:val="center"/>
            <w:shd w:fill="F2F2F2"/>
          </w:tcPr>
          <w:p>
            <w:pPr>
              <w:spacing w:after="0" w:before="0" w:line="240" w:lineRule="auto"/>
            </w:pPr>
            <w:r>
              <w:rPr>
                <w:b/>
                <w:color w:val="000000"/>
                <w:sz w:val="21"/>
              </w:rPr>
              <w:t>FDN</w:t>
            </w:r>
          </w:p>
        </w:tc>
        <w:tc>
          <w:tcPr>
            <w:tcW w:type="dxa" w:w="1152"/>
            <w:vAlign w:val="center"/>
            <w:shd w:fill="F2F2F2"/>
          </w:tcPr>
          <w:p>
            <w:pPr>
              <w:spacing w:after="0" w:before="0" w:line="240" w:lineRule="auto"/>
            </w:pPr>
            <w:r>
              <w:rPr>
                <w:b/>
                <w:color w:val="000000"/>
                <w:sz w:val="21"/>
              </w:rPr>
              <w:t>BND</w:t>
            </w:r>
          </w:p>
        </w:tc>
      </w:tr>
      <w:tr>
        <w:trPr>
          <w:cantSplit/>
        </w:trPr>
        <w:tc>
          <w:tcPr>
            <w:tcW w:type="dxa" w:w="936"/>
            <w:vAlign w:val="center"/>
          </w:tcPr>
          <w:p>
            <w:pPr>
              <w:spacing w:after="0" w:before="0" w:line="240" w:lineRule="auto"/>
            </w:pPr>
            <w:r>
              <w:rPr>
                <w:b w:val="0"/>
                <w:color w:val="000000"/>
                <w:sz w:val="21"/>
              </w:rPr>
              <w:t>Dev</w:t>
            </w:r>
          </w:p>
        </w:tc>
        <w:tc>
          <w:tcPr>
            <w:tcW w:type="dxa" w:w="1512"/>
            <w:vAlign w:val="center"/>
          </w:tcPr>
          <w:p>
            <w:pPr>
              <w:spacing w:after="0" w:before="0" w:line="240" w:lineRule="auto"/>
            </w:pPr>
            <w:r>
              <w:rPr>
                <w:b w:val="0"/>
                <w:color w:val="000000"/>
                <w:sz w:val="21"/>
              </w:rPr>
              <w:t>6.96%</w:t>
            </w:r>
          </w:p>
        </w:tc>
        <w:tc>
          <w:tcPr>
            <w:tcW w:type="dxa" w:w="1152"/>
            <w:vAlign w:val="center"/>
          </w:tcPr>
          <w:p>
            <w:pPr>
              <w:spacing w:after="0" w:before="0" w:line="240" w:lineRule="auto"/>
            </w:pPr>
            <w:r>
              <w:rPr>
                <w:b w:val="0"/>
                <w:color w:val="000000"/>
                <w:sz w:val="21"/>
              </w:rPr>
              <w:t>0.093</w:t>
            </w:r>
          </w:p>
        </w:tc>
        <w:tc>
          <w:tcPr>
            <w:tcW w:type="dxa" w:w="1152"/>
            <w:vAlign w:val="center"/>
          </w:tcPr>
          <w:p>
            <w:pPr>
              <w:spacing w:after="0" w:before="0" w:line="240" w:lineRule="auto"/>
            </w:pPr>
            <w:r>
              <w:rPr>
                <w:b w:val="0"/>
                <w:color w:val="000000"/>
                <w:sz w:val="21"/>
              </w:rPr>
              <w:t>0.090</w:t>
            </w:r>
          </w:p>
        </w:tc>
        <w:tc>
          <w:tcPr>
            <w:tcW w:type="dxa" w:w="1152"/>
            <w:vAlign w:val="center"/>
          </w:tcPr>
          <w:p>
            <w:pPr>
              <w:spacing w:after="0" w:before="0" w:line="240" w:lineRule="auto"/>
            </w:pPr>
            <w:r>
              <w:rPr>
                <w:b w:val="0"/>
                <w:color w:val="000000"/>
                <w:sz w:val="21"/>
              </w:rPr>
              <w:t>0.031</w:t>
            </w:r>
          </w:p>
        </w:tc>
        <w:tc>
          <w:tcPr>
            <w:tcW w:type="dxa" w:w="1152"/>
            <w:vAlign w:val="center"/>
          </w:tcPr>
          <w:p>
            <w:pPr>
              <w:spacing w:after="0" w:before="0" w:line="240" w:lineRule="auto"/>
            </w:pPr>
            <w:r>
              <w:rPr>
                <w:b w:val="0"/>
                <w:color w:val="000000"/>
                <w:sz w:val="21"/>
              </w:rPr>
              <w:t>0.033</w:t>
            </w:r>
          </w:p>
        </w:tc>
        <w:tc>
          <w:tcPr>
            <w:tcW w:type="dxa" w:w="1152"/>
            <w:vAlign w:val="center"/>
          </w:tcPr>
          <w:p>
            <w:pPr>
              <w:spacing w:after="0" w:before="0" w:line="240" w:lineRule="auto"/>
            </w:pPr>
            <w:r>
              <w:rPr>
                <w:b w:val="0"/>
                <w:color w:val="000000"/>
                <w:sz w:val="21"/>
              </w:rPr>
              <w:t>0.078</w:t>
            </w:r>
          </w:p>
        </w:tc>
        <w:tc>
          <w:tcPr>
            <w:tcW w:type="dxa" w:w="1152"/>
            <w:vAlign w:val="center"/>
          </w:tcPr>
          <w:p>
            <w:pPr>
              <w:spacing w:after="0" w:before="0" w:line="240" w:lineRule="auto"/>
            </w:pPr>
            <w:r>
              <w:rPr>
                <w:b w:val="0"/>
                <w:color w:val="000000"/>
                <w:sz w:val="21"/>
              </w:rPr>
              <w:t>-0.061</w:t>
            </w:r>
          </w:p>
        </w:tc>
      </w:tr>
      <w:tr>
        <w:trPr>
          <w:cantSplit/>
        </w:trPr>
        <w:tc>
          <w:tcPr>
            <w:tcW w:type="dxa" w:w="936"/>
            <w:vAlign w:val="center"/>
          </w:tcPr>
          <w:p>
            <w:pPr>
              <w:spacing w:after="0" w:before="0" w:line="240" w:lineRule="auto"/>
            </w:pPr>
            <w:r>
              <w:rPr>
                <w:b w:val="0"/>
                <w:color w:val="000000"/>
                <w:sz w:val="21"/>
              </w:rPr>
              <w:t>Val</w:t>
            </w:r>
          </w:p>
        </w:tc>
        <w:tc>
          <w:tcPr>
            <w:tcW w:type="dxa" w:w="1512"/>
            <w:vAlign w:val="center"/>
          </w:tcPr>
          <w:p>
            <w:pPr>
              <w:spacing w:after="0" w:before="0" w:line="240" w:lineRule="auto"/>
            </w:pPr>
            <w:r>
              <w:rPr>
                <w:b w:val="0"/>
                <w:color w:val="000000"/>
                <w:sz w:val="21"/>
              </w:rPr>
              <w:t>6.92%</w:t>
            </w:r>
          </w:p>
        </w:tc>
        <w:tc>
          <w:tcPr>
            <w:tcW w:type="dxa" w:w="1152"/>
            <w:vAlign w:val="center"/>
          </w:tcPr>
          <w:p>
            <w:pPr>
              <w:spacing w:after="0" w:before="0" w:line="240" w:lineRule="auto"/>
            </w:pPr>
            <w:r>
              <w:rPr>
                <w:b w:val="0"/>
                <w:color w:val="000000"/>
                <w:sz w:val="21"/>
              </w:rPr>
              <w:t>0.049</w:t>
            </w:r>
          </w:p>
        </w:tc>
        <w:tc>
          <w:tcPr>
            <w:tcW w:type="dxa" w:w="1152"/>
            <w:vAlign w:val="center"/>
          </w:tcPr>
          <w:p>
            <w:pPr>
              <w:spacing w:after="0" w:before="0" w:line="240" w:lineRule="auto"/>
            </w:pPr>
            <w:r>
              <w:rPr>
                <w:b w:val="0"/>
                <w:color w:val="000000"/>
                <w:sz w:val="21"/>
              </w:rPr>
              <w:t>0.114</w:t>
            </w:r>
          </w:p>
        </w:tc>
        <w:tc>
          <w:tcPr>
            <w:tcW w:type="dxa" w:w="1152"/>
            <w:vAlign w:val="center"/>
          </w:tcPr>
          <w:p>
            <w:pPr>
              <w:spacing w:after="0" w:before="0" w:line="240" w:lineRule="auto"/>
            </w:pPr>
            <w:r>
              <w:rPr>
                <w:b w:val="0"/>
                <w:color w:val="000000"/>
                <w:sz w:val="21"/>
              </w:rPr>
              <w:t>0.021</w:t>
            </w:r>
          </w:p>
        </w:tc>
        <w:tc>
          <w:tcPr>
            <w:tcW w:type="dxa" w:w="1152"/>
            <w:vAlign w:val="center"/>
          </w:tcPr>
          <w:p>
            <w:pPr>
              <w:spacing w:after="0" w:before="0" w:line="240" w:lineRule="auto"/>
            </w:pPr>
            <w:r>
              <w:rPr>
                <w:b w:val="0"/>
                <w:color w:val="000000"/>
                <w:sz w:val="21"/>
              </w:rPr>
              <w:t>0.059</w:t>
            </w:r>
          </w:p>
        </w:tc>
        <w:tc>
          <w:tcPr>
            <w:tcW w:type="dxa" w:w="1152"/>
            <w:vAlign w:val="center"/>
          </w:tcPr>
          <w:p>
            <w:pPr>
              <w:spacing w:after="0" w:before="0" w:line="240" w:lineRule="auto"/>
            </w:pPr>
            <w:r>
              <w:rPr>
                <w:b w:val="0"/>
                <w:color w:val="000000"/>
                <w:sz w:val="21"/>
              </w:rPr>
              <w:t>0.037</w:t>
            </w:r>
          </w:p>
        </w:tc>
        <w:tc>
          <w:tcPr>
            <w:tcW w:type="dxa" w:w="1152"/>
            <w:vAlign w:val="center"/>
          </w:tcPr>
          <w:p>
            <w:pPr>
              <w:spacing w:after="0" w:before="0" w:line="240" w:lineRule="auto"/>
            </w:pPr>
            <w:r>
              <w:rPr>
                <w:b w:val="0"/>
                <w:color w:val="000000"/>
                <w:sz w:val="21"/>
              </w:rPr>
              <w:t>0.059</w:t>
            </w:r>
          </w:p>
        </w:tc>
      </w:tr>
      <w:tr>
        <w:trPr>
          <w:cantSplit/>
        </w:trPr>
        <w:tc>
          <w:tcPr>
            <w:tcW w:type="dxa" w:w="936"/>
            <w:vAlign w:val="center"/>
          </w:tcPr>
          <w:p>
            <w:pPr>
              <w:spacing w:after="0" w:before="0" w:line="240" w:lineRule="auto"/>
            </w:pPr>
            <w:r>
              <w:rPr>
                <w:b w:val="0"/>
                <w:color w:val="000000"/>
                <w:sz w:val="21"/>
              </w:rPr>
              <w:t>OOS</w:t>
            </w:r>
          </w:p>
        </w:tc>
        <w:tc>
          <w:tcPr>
            <w:tcW w:type="dxa" w:w="1512"/>
            <w:vAlign w:val="center"/>
          </w:tcPr>
          <w:p>
            <w:pPr>
              <w:spacing w:after="0" w:before="0" w:line="240" w:lineRule="auto"/>
            </w:pPr>
            <w:r>
              <w:rPr>
                <w:b w:val="0"/>
                <w:color w:val="000000"/>
                <w:sz w:val="21"/>
              </w:rPr>
              <w:t>12.59%</w:t>
            </w:r>
          </w:p>
        </w:tc>
        <w:tc>
          <w:tcPr>
            <w:tcW w:type="dxa" w:w="1152"/>
            <w:vAlign w:val="center"/>
          </w:tcPr>
          <w:p>
            <w:pPr>
              <w:spacing w:after="0" w:before="0" w:line="240" w:lineRule="auto"/>
            </w:pPr>
            <w:r>
              <w:rPr>
                <w:b w:val="0"/>
                <w:color w:val="000000"/>
                <w:sz w:val="21"/>
              </w:rPr>
              <w:t>0.037</w:t>
            </w:r>
          </w:p>
        </w:tc>
        <w:tc>
          <w:tcPr>
            <w:tcW w:type="dxa" w:w="1152"/>
            <w:vAlign w:val="center"/>
          </w:tcPr>
          <w:p>
            <w:pPr>
              <w:spacing w:after="0" w:before="0" w:line="240" w:lineRule="auto"/>
            </w:pPr>
            <w:r>
              <w:rPr>
                <w:b w:val="0"/>
                <w:color w:val="000000"/>
                <w:sz w:val="21"/>
              </w:rPr>
              <w:t>0.037</w:t>
            </w:r>
          </w:p>
        </w:tc>
        <w:tc>
          <w:tcPr>
            <w:tcW w:type="dxa" w:w="1152"/>
            <w:vAlign w:val="center"/>
          </w:tcPr>
          <w:p>
            <w:pPr>
              <w:spacing w:after="0" w:before="0" w:line="240" w:lineRule="auto"/>
            </w:pPr>
            <w:r>
              <w:rPr>
                <w:b w:val="0"/>
                <w:color w:val="000000"/>
                <w:sz w:val="21"/>
              </w:rPr>
              <w:t>0.075</w:t>
            </w:r>
          </w:p>
        </w:tc>
        <w:tc>
          <w:tcPr>
            <w:tcW w:type="dxa" w:w="1152"/>
            <w:vAlign w:val="center"/>
          </w:tcPr>
          <w:p>
            <w:pPr>
              <w:spacing w:after="0" w:before="0" w:line="240" w:lineRule="auto"/>
            </w:pPr>
            <w:r>
              <w:rPr>
                <w:b w:val="0"/>
                <w:color w:val="000000"/>
                <w:sz w:val="21"/>
              </w:rPr>
              <w:t>0.009</w:t>
            </w:r>
          </w:p>
        </w:tc>
        <w:tc>
          <w:tcPr>
            <w:tcW w:type="dxa" w:w="1152"/>
            <w:vAlign w:val="center"/>
          </w:tcPr>
          <w:p>
            <w:pPr>
              <w:spacing w:after="0" w:before="0" w:line="240" w:lineRule="auto"/>
            </w:pPr>
            <w:r>
              <w:rPr>
                <w:b w:val="0"/>
                <w:color w:val="000000"/>
                <w:sz w:val="21"/>
              </w:rPr>
              <w:t>0.052</w:t>
            </w:r>
          </w:p>
        </w:tc>
        <w:tc>
          <w:tcPr>
            <w:tcW w:type="dxa" w:w="1152"/>
            <w:vAlign w:val="center"/>
          </w:tcPr>
          <w:p>
            <w:pPr>
              <w:spacing w:after="0" w:before="0" w:line="240" w:lineRule="auto"/>
            </w:pPr>
            <w:r>
              <w:rPr>
                <w:b w:val="0"/>
                <w:color w:val="000000"/>
                <w:sz w:val="21"/>
              </w:rPr>
              <w:t>-0.017</w:t>
            </w:r>
          </w:p>
        </w:tc>
      </w:tr>
    </w:tbl>
    <w:p>
      <w:pPr>
        <w:spacing w:after="0"/>
      </w:pPr>
    </w:p>
    <w:p>
      <w:pPr>
        <w:spacing w:after="140"/>
      </w:pPr>
      <w:r>
        <w:rPr>
          <w:b w:val="0"/>
          <w:i w:val="0"/>
        </w:rPr>
        <w:t>All fits include an intercept and use the full aligned stage sample. Factor-rank and passive self-regression checks accompany the output. QQQ and FDN are related passive equity exposures, so joint coefficients should not be overinterpreted. Additional factors mechanically improve in-sample fit; they do not establish forecasting value. We do not report significance stars or assume independent residuals.</w:t>
      </w:r>
    </w:p>
    <w:p>
      <w:pPr>
        <w:pStyle w:val="Heading1"/>
        <w:pageBreakBefore/>
      </w:pPr>
      <w:r>
        <w:t>Discussion and Conclusion</w:t>
      </w:r>
    </w:p>
    <w:p>
      <w:pPr>
        <w:spacing w:after="140"/>
      </w:pPr>
      <w:r>
        <w:rPr>
          <w:b w:val="0"/>
          <w:i w:val="0"/>
        </w:rPr>
        <w:t>The clearest historical result is a growth–risk trade-off. The four mixtures reduce daily drawdowns relative to passive QQQ in each examined period, but none consistently dominates on growth, Sharpe and drawdown together. Equal initial weights lead earlier-window Sharpe, whereas optimized fitted-window Sharpes near 2.5 are accompanied by weak validation. The cash-heavy uncapped solution also demonstrates why maximizing a ratio can produce an allocation with modest CAGR.</w:t>
      </w:r>
    </w:p>
    <w:p>
      <w:pPr>
        <w:pStyle w:val="Heading2"/>
      </w:pPr>
      <w:r>
        <w:t>Limitations</w:t>
      </w:r>
    </w:p>
    <w:p>
      <w:pPr>
        <w:spacing w:after="140"/>
      </w:pPr>
      <w:r>
        <w:rPr>
          <w:b w:val="0"/>
          <w:i w:val="0"/>
        </w:rPr>
        <w:t>Selection is the primary limitation. The research explored a large configuration grid, changed display filters after OOS examination, pruned ETFs and optimized weights on the same later history. No deflated Sharpe, probability-of-backtest-overfitting estimate or multiple-testing-adjusted significance is computed here [4]. Separate original stage authorizations protect data access, but they cannot make the final hindsight-conditioned portfolio untouched.</w:t>
      </w:r>
    </w:p>
    <w:p>
      <w:pPr>
        <w:spacing w:after="140"/>
      </w:pPr>
      <w:r>
        <w:rPr>
          <w:b w:val="0"/>
          <w:i w:val="0"/>
        </w:rPr>
        <w:t>The sample is short for regime or tail-risk claims. Historical daily drawdowns miss intraday losses; fixed costs omit capacity and detailed fill risk. Factors omit nonlinear and time-varying exposures. Bond and commodity ETF dynamics differ from their labels. Data-vintage choices, survivorship in the chosen ETF universe and the absence of delisted alternatives further limit generalization. Independent saved-path arithmetic is not independent raw-data validation.</w:t>
      </w:r>
    </w:p>
    <w:p>
      <w:pPr>
        <w:pStyle w:val="Heading2"/>
      </w:pPr>
      <w:r>
        <w:t>A prospective continuation</w:t>
      </w:r>
    </w:p>
    <w:p>
      <w:pPr>
        <w:spacing w:after="140"/>
      </w:pPr>
      <w:r>
        <w:rPr>
          <w:b w:val="0"/>
          <w:i w:val="0"/>
        </w:rPr>
        <w:t>A credible next experiment would lock the universe, one configuration per sleeve, selection rule, full-precision weights, clock, costs and any rebalance/cap policy before accessing a genuinely future period. It should preserve unsuccessful cases, define failure criteria in advance and obtain a separately authorized data release. Activity, seasonality, spread and macro hypotheses should be separate preregistered extensions, not explanations retrofitted to these curves. We perform none of those new tests here.</w:t>
      </w:r>
    </w:p>
    <w:p>
      <w:pPr>
        <w:spacing w:after="140"/>
      </w:pPr>
      <w:r>
        <w:rPr>
          <w:b w:val="0"/>
          <w:i w:val="0"/>
        </w:rPr>
        <w:t>We conclude that this is a complete retrospective portfolio research project with reproducible calculations and explicit negative findings. It supports further controlled research, not deployment or a claim of persistent alpha.</w:t>
      </w:r>
    </w:p>
    <w:p>
      <w:pPr>
        <w:pStyle w:val="Heading2"/>
      </w:pPr>
      <w:r>
        <w:t>References</w:t>
      </w:r>
    </w:p>
    <w:p>
      <w:pPr>
        <w:spacing w:after="140"/>
      </w:pPr>
      <w:r>
        <w:rPr>
          <w:b w:val="0"/>
          <w:i w:val="0"/>
          <w:sz w:val="20"/>
        </w:rPr>
        <w:t>[1] Moskowitz, T. J., Ooi, Y. H., and Pedersen, L. H. (2012). Time series momentum. Journal of Financial Economics 104, 228–250. https://www.aqr.com/Insights/Research/Journal-Article/Time-Series-Momentum</w:t>
      </w:r>
    </w:p>
    <w:p>
      <w:pPr>
        <w:spacing w:after="140"/>
      </w:pPr>
      <w:r>
        <w:rPr>
          <w:b w:val="0"/>
          <w:i w:val="0"/>
          <w:sz w:val="20"/>
        </w:rPr>
        <w:t>[2] Sharpe, W. F. (1994). The Sharpe Ratio. Journal of Portfolio Management, Fall. https://web.stanford.edu/~wfsharpe/art/sr/sr.htm</w:t>
      </w:r>
    </w:p>
    <w:p>
      <w:pPr>
        <w:spacing w:after="140"/>
      </w:pPr>
      <w:r>
        <w:rPr>
          <w:b w:val="0"/>
          <w:i w:val="0"/>
          <w:sz w:val="20"/>
        </w:rPr>
        <w:t>[3] Lo, A. W. (2002). The Statistics of Sharpe Ratios. Financial Analysts Journal 58(4), 36–52. Author record: https://alo.mit.edu/publications/page/18/</w:t>
      </w:r>
    </w:p>
    <w:p>
      <w:pPr>
        <w:spacing w:after="140"/>
      </w:pPr>
      <w:r>
        <w:rPr>
          <w:b w:val="0"/>
          <w:i w:val="0"/>
          <w:sz w:val="20"/>
        </w:rPr>
        <w:t>[4] Bailey, D. H., Borwein, J. M., López de Prado, M., and Zhu, Q. J. (2017). The Probability of Backtest Overfitting. Journal of Computational Finance. DOI 10.21314/JCF.2016.322. https://scholarworks.wmich.edu/math_pubs/42/</w:t>
      </w:r>
    </w:p>
    <w:p>
      <w:pPr>
        <w:pStyle w:val="Heading1"/>
        <w:pageBreakBefore/>
      </w:pPr>
      <w:r>
        <w:t>Appendix A Development 2017 to 2020</w:t>
      </w:r>
    </w:p>
    <w:p>
      <w:pPr>
        <w:spacing w:after="140"/>
      </w:pPr>
      <w:r>
        <w:rPr>
          <w:b w:val="0"/>
          <w:i w:val="0"/>
          <w:sz w:val="22"/>
        </w:rPr>
        <w:t>Each row retains the same selected strategy definitions and initial weights. Costs are 1-bp commission plus the listed one-way slippage, each way. Volatility is annualized net return volatility; Sharpe is cash-excess; alpha is annualized arithmetic QQQ-relative intercept. CAGR, volatility, drawdown and alpha are percentages. Beta is unitless.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1800"/>
        <w:gridCol w:w="720"/>
        <w:gridCol w:w="1152"/>
        <w:gridCol w:w="1152"/>
        <w:gridCol w:w="1080"/>
        <w:gridCol w:w="1152"/>
        <w:gridCol w:w="1224"/>
        <w:gridCol w:w="1080"/>
      </w:tblGrid>
      <w:tr>
        <w:trPr>
          <w:cantSplit/>
          <w:tblHeader/>
        </w:trPr>
        <w:tc>
          <w:tcPr>
            <w:tcW w:type="dxa" w:w="1800"/>
            <w:vAlign w:val="center"/>
            <w:shd w:fill="F2F2F2"/>
          </w:tcPr>
          <w:p>
            <w:pPr>
              <w:spacing w:after="0" w:before="0" w:line="240" w:lineRule="auto"/>
            </w:pPr>
            <w:r>
              <w:rPr>
                <w:b/>
                <w:color w:val="000000"/>
                <w:sz w:val="21"/>
              </w:rPr>
              <w:t>Portfolio</w:t>
            </w:r>
          </w:p>
        </w:tc>
        <w:tc>
          <w:tcPr>
            <w:tcW w:type="dxa" w:w="720"/>
            <w:vAlign w:val="center"/>
            <w:shd w:fill="F2F2F2"/>
          </w:tcPr>
          <w:p>
            <w:pPr>
              <w:spacing w:after="0" w:before="0" w:line="240" w:lineRule="auto"/>
            </w:pPr>
            <w:r>
              <w:rPr>
                <w:b/>
                <w:color w:val="000000"/>
                <w:sz w:val="21"/>
              </w:rPr>
              <w:t>Slip bp</w:t>
            </w:r>
          </w:p>
        </w:tc>
        <w:tc>
          <w:tcPr>
            <w:tcW w:type="dxa" w:w="1152"/>
            <w:vAlign w:val="center"/>
            <w:shd w:fill="F2F2F2"/>
          </w:tcPr>
          <w:p>
            <w:pPr>
              <w:spacing w:after="0" w:before="0" w:line="240" w:lineRule="auto"/>
            </w:pPr>
            <w:r>
              <w:rPr>
                <w:b/>
                <w:color w:val="000000"/>
                <w:sz w:val="21"/>
              </w:rPr>
              <w:t>CAGR</w:t>
            </w:r>
          </w:p>
        </w:tc>
        <w:tc>
          <w:tcPr>
            <w:tcW w:type="dxa" w:w="1152"/>
            <w:vAlign w:val="center"/>
            <w:shd w:fill="F2F2F2"/>
          </w:tcPr>
          <w:p>
            <w:pPr>
              <w:spacing w:after="0" w:before="0" w:line="240" w:lineRule="auto"/>
            </w:pPr>
            <w:r>
              <w:rPr>
                <w:b/>
                <w:color w:val="000000"/>
                <w:sz w:val="21"/>
              </w:rPr>
              <w:t>Vol</w:t>
            </w:r>
          </w:p>
        </w:tc>
        <w:tc>
          <w:tcPr>
            <w:tcW w:type="dxa" w:w="1080"/>
            <w:vAlign w:val="center"/>
            <w:shd w:fill="F2F2F2"/>
          </w:tcPr>
          <w:p>
            <w:pPr>
              <w:spacing w:after="0" w:before="0" w:line="240" w:lineRule="auto"/>
            </w:pPr>
            <w:r>
              <w:rPr>
                <w:b/>
                <w:color w:val="000000"/>
                <w:sz w:val="21"/>
              </w:rPr>
              <w:t>Sharpe</w:t>
            </w:r>
          </w:p>
        </w:tc>
        <w:tc>
          <w:tcPr>
            <w:tcW w:type="dxa" w:w="1152"/>
            <w:vAlign w:val="center"/>
            <w:shd w:fill="F2F2F2"/>
          </w:tcPr>
          <w:p>
            <w:pPr>
              <w:spacing w:after="0" w:before="0" w:line="240" w:lineRule="auto"/>
            </w:pPr>
            <w:r>
              <w:rPr>
                <w:b/>
                <w:color w:val="000000"/>
                <w:sz w:val="21"/>
              </w:rPr>
              <w:t>Max DD</w:t>
            </w:r>
          </w:p>
        </w:tc>
        <w:tc>
          <w:tcPr>
            <w:tcW w:type="dxa" w:w="1224"/>
            <w:vAlign w:val="center"/>
            <w:shd w:fill="F2F2F2"/>
          </w:tcPr>
          <w:p>
            <w:pPr>
              <w:spacing w:after="0" w:before="0" w:line="240" w:lineRule="auto"/>
            </w:pPr>
            <w:r>
              <w:rPr>
                <w:b/>
                <w:color w:val="000000"/>
                <w:sz w:val="21"/>
              </w:rPr>
              <w:t>Alpha</w:t>
            </w:r>
          </w:p>
        </w:tc>
        <w:tc>
          <w:tcPr>
            <w:tcW w:type="dxa" w:w="1080"/>
            <w:vAlign w:val="center"/>
            <w:shd w:fill="F2F2F2"/>
          </w:tcPr>
          <w:p>
            <w:pPr>
              <w:spacing w:after="0" w:before="0" w:line="240" w:lineRule="auto"/>
            </w:pPr>
            <w:r>
              <w:rPr>
                <w:b/>
                <w:color w:val="000000"/>
                <w:sz w:val="21"/>
              </w:rPr>
              <w:t>Beta</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14.86%</w:t>
            </w:r>
          </w:p>
        </w:tc>
        <w:tc>
          <w:tcPr>
            <w:tcW w:type="dxa" w:w="1152"/>
            <w:vAlign w:val="center"/>
          </w:tcPr>
          <w:p>
            <w:pPr>
              <w:spacing w:after="0" w:before="0" w:line="240" w:lineRule="auto"/>
            </w:pPr>
            <w:r>
              <w:rPr>
                <w:b w:val="0"/>
                <w:color w:val="000000"/>
                <w:sz w:val="21"/>
              </w:rPr>
              <w:t>8.43%</w:t>
            </w:r>
          </w:p>
        </w:tc>
        <w:tc>
          <w:tcPr>
            <w:tcW w:type="dxa" w:w="1080"/>
            <w:vAlign w:val="center"/>
          </w:tcPr>
          <w:p>
            <w:pPr>
              <w:spacing w:after="0" w:before="0" w:line="240" w:lineRule="auto"/>
            </w:pPr>
            <w:r>
              <w:rPr>
                <w:b w:val="0"/>
                <w:color w:val="000000"/>
                <w:sz w:val="21"/>
              </w:rPr>
              <w:t>1.330</w:t>
            </w:r>
          </w:p>
        </w:tc>
        <w:tc>
          <w:tcPr>
            <w:tcW w:type="dxa" w:w="1152"/>
            <w:vAlign w:val="center"/>
          </w:tcPr>
          <w:p>
            <w:pPr>
              <w:spacing w:after="0" w:before="0" w:line="240" w:lineRule="auto"/>
            </w:pPr>
            <w:r>
              <w:rPr>
                <w:b w:val="0"/>
                <w:color w:val="000000"/>
                <w:sz w:val="21"/>
              </w:rPr>
              <w:t>-7.52%</w:t>
            </w:r>
          </w:p>
        </w:tc>
        <w:tc>
          <w:tcPr>
            <w:tcW w:type="dxa" w:w="1224"/>
            <w:vAlign w:val="center"/>
          </w:tcPr>
          <w:p>
            <w:pPr>
              <w:spacing w:after="0" w:before="0" w:line="240" w:lineRule="auto"/>
            </w:pPr>
            <w:r>
              <w:rPr>
                <w:b w:val="0"/>
                <w:color w:val="000000"/>
                <w:sz w:val="21"/>
              </w:rPr>
              <w:t>6.41%</w:t>
            </w:r>
          </w:p>
        </w:tc>
        <w:tc>
          <w:tcPr>
            <w:tcW w:type="dxa" w:w="1080"/>
            <w:vAlign w:val="center"/>
          </w:tcPr>
          <w:p>
            <w:pPr>
              <w:spacing w:after="0" w:before="0" w:line="240" w:lineRule="auto"/>
            </w:pPr>
            <w:r>
              <w:rPr>
                <w:b w:val="0"/>
                <w:color w:val="000000"/>
                <w:sz w:val="21"/>
              </w:rPr>
              <w:t>0.194</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14.77%</w:t>
            </w:r>
          </w:p>
        </w:tc>
        <w:tc>
          <w:tcPr>
            <w:tcW w:type="dxa" w:w="1152"/>
            <w:vAlign w:val="center"/>
          </w:tcPr>
          <w:p>
            <w:pPr>
              <w:spacing w:after="0" w:before="0" w:line="240" w:lineRule="auto"/>
            </w:pPr>
            <w:r>
              <w:rPr>
                <w:b w:val="0"/>
                <w:color w:val="000000"/>
                <w:sz w:val="21"/>
              </w:rPr>
              <w:t>8.43%</w:t>
            </w:r>
          </w:p>
        </w:tc>
        <w:tc>
          <w:tcPr>
            <w:tcW w:type="dxa" w:w="1080"/>
            <w:vAlign w:val="center"/>
          </w:tcPr>
          <w:p>
            <w:pPr>
              <w:spacing w:after="0" w:before="0" w:line="240" w:lineRule="auto"/>
            </w:pPr>
            <w:r>
              <w:rPr>
                <w:b w:val="0"/>
                <w:color w:val="000000"/>
                <w:sz w:val="21"/>
              </w:rPr>
              <w:t>1.321</w:t>
            </w:r>
          </w:p>
        </w:tc>
        <w:tc>
          <w:tcPr>
            <w:tcW w:type="dxa" w:w="1152"/>
            <w:vAlign w:val="center"/>
          </w:tcPr>
          <w:p>
            <w:pPr>
              <w:spacing w:after="0" w:before="0" w:line="240" w:lineRule="auto"/>
            </w:pPr>
            <w:r>
              <w:rPr>
                <w:b w:val="0"/>
                <w:color w:val="000000"/>
                <w:sz w:val="21"/>
              </w:rPr>
              <w:t>-7.52%</w:t>
            </w:r>
          </w:p>
        </w:tc>
        <w:tc>
          <w:tcPr>
            <w:tcW w:type="dxa" w:w="1224"/>
            <w:vAlign w:val="center"/>
          </w:tcPr>
          <w:p>
            <w:pPr>
              <w:spacing w:after="0" w:before="0" w:line="240" w:lineRule="auto"/>
            </w:pPr>
            <w:r>
              <w:rPr>
                <w:b w:val="0"/>
                <w:color w:val="000000"/>
                <w:sz w:val="21"/>
              </w:rPr>
              <w:t>6.34%</w:t>
            </w:r>
          </w:p>
        </w:tc>
        <w:tc>
          <w:tcPr>
            <w:tcW w:type="dxa" w:w="1080"/>
            <w:vAlign w:val="center"/>
          </w:tcPr>
          <w:p>
            <w:pPr>
              <w:spacing w:after="0" w:before="0" w:line="240" w:lineRule="auto"/>
            </w:pPr>
            <w:r>
              <w:rPr>
                <w:b w:val="0"/>
                <w:color w:val="000000"/>
                <w:sz w:val="21"/>
              </w:rPr>
              <w:t>0.194</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14.47%</w:t>
            </w:r>
          </w:p>
        </w:tc>
        <w:tc>
          <w:tcPr>
            <w:tcW w:type="dxa" w:w="1152"/>
            <w:vAlign w:val="center"/>
          </w:tcPr>
          <w:p>
            <w:pPr>
              <w:spacing w:after="0" w:before="0" w:line="240" w:lineRule="auto"/>
            </w:pPr>
            <w:r>
              <w:rPr>
                <w:b w:val="0"/>
                <w:color w:val="000000"/>
                <w:sz w:val="21"/>
              </w:rPr>
              <w:t>8.41%</w:t>
            </w:r>
          </w:p>
        </w:tc>
        <w:tc>
          <w:tcPr>
            <w:tcW w:type="dxa" w:w="1080"/>
            <w:vAlign w:val="center"/>
          </w:tcPr>
          <w:p>
            <w:pPr>
              <w:spacing w:after="0" w:before="0" w:line="240" w:lineRule="auto"/>
            </w:pPr>
            <w:r>
              <w:rPr>
                <w:b w:val="0"/>
                <w:color w:val="000000"/>
                <w:sz w:val="21"/>
              </w:rPr>
              <w:t>1.293</w:t>
            </w:r>
          </w:p>
        </w:tc>
        <w:tc>
          <w:tcPr>
            <w:tcW w:type="dxa" w:w="1152"/>
            <w:vAlign w:val="center"/>
          </w:tcPr>
          <w:p>
            <w:pPr>
              <w:spacing w:after="0" w:before="0" w:line="240" w:lineRule="auto"/>
            </w:pPr>
            <w:r>
              <w:rPr>
                <w:b w:val="0"/>
                <w:color w:val="000000"/>
                <w:sz w:val="21"/>
              </w:rPr>
              <w:t>-7.53%</w:t>
            </w:r>
          </w:p>
        </w:tc>
        <w:tc>
          <w:tcPr>
            <w:tcW w:type="dxa" w:w="1224"/>
            <w:vAlign w:val="center"/>
          </w:tcPr>
          <w:p>
            <w:pPr>
              <w:spacing w:after="0" w:before="0" w:line="240" w:lineRule="auto"/>
            </w:pPr>
            <w:r>
              <w:rPr>
                <w:b w:val="0"/>
                <w:color w:val="000000"/>
                <w:sz w:val="21"/>
              </w:rPr>
              <w:t>6.07%</w:t>
            </w:r>
          </w:p>
        </w:tc>
        <w:tc>
          <w:tcPr>
            <w:tcW w:type="dxa" w:w="1080"/>
            <w:vAlign w:val="center"/>
          </w:tcPr>
          <w:p>
            <w:pPr>
              <w:spacing w:after="0" w:before="0" w:line="240" w:lineRule="auto"/>
            </w:pPr>
            <w:r>
              <w:rPr>
                <w:b w:val="0"/>
                <w:color w:val="000000"/>
                <w:sz w:val="21"/>
              </w:rPr>
              <w:t>0.194</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13.82%</w:t>
            </w:r>
          </w:p>
        </w:tc>
        <w:tc>
          <w:tcPr>
            <w:tcW w:type="dxa" w:w="1152"/>
            <w:vAlign w:val="center"/>
          </w:tcPr>
          <w:p>
            <w:pPr>
              <w:spacing w:after="0" w:before="0" w:line="240" w:lineRule="auto"/>
            </w:pPr>
            <w:r>
              <w:rPr>
                <w:b w:val="0"/>
                <w:color w:val="000000"/>
                <w:sz w:val="21"/>
              </w:rPr>
              <w:t>8.37%</w:t>
            </w:r>
          </w:p>
        </w:tc>
        <w:tc>
          <w:tcPr>
            <w:tcW w:type="dxa" w:w="1080"/>
            <w:vAlign w:val="center"/>
          </w:tcPr>
          <w:p>
            <w:pPr>
              <w:spacing w:after="0" w:before="0" w:line="240" w:lineRule="auto"/>
            </w:pPr>
            <w:r>
              <w:rPr>
                <w:b w:val="0"/>
                <w:color w:val="000000"/>
                <w:sz w:val="21"/>
              </w:rPr>
              <w:t>1.230</w:t>
            </w:r>
          </w:p>
        </w:tc>
        <w:tc>
          <w:tcPr>
            <w:tcW w:type="dxa" w:w="1152"/>
            <w:vAlign w:val="center"/>
          </w:tcPr>
          <w:p>
            <w:pPr>
              <w:spacing w:after="0" w:before="0" w:line="240" w:lineRule="auto"/>
            </w:pPr>
            <w:r>
              <w:rPr>
                <w:b w:val="0"/>
                <w:color w:val="000000"/>
                <w:sz w:val="21"/>
              </w:rPr>
              <w:t>-7.54%</w:t>
            </w:r>
          </w:p>
        </w:tc>
        <w:tc>
          <w:tcPr>
            <w:tcW w:type="dxa" w:w="1224"/>
            <w:vAlign w:val="center"/>
          </w:tcPr>
          <w:p>
            <w:pPr>
              <w:spacing w:after="0" w:before="0" w:line="240" w:lineRule="auto"/>
            </w:pPr>
            <w:r>
              <w:rPr>
                <w:b w:val="0"/>
                <w:color w:val="000000"/>
                <w:sz w:val="21"/>
              </w:rPr>
              <w:t>5.51%</w:t>
            </w:r>
          </w:p>
        </w:tc>
        <w:tc>
          <w:tcPr>
            <w:tcW w:type="dxa" w:w="1080"/>
            <w:vAlign w:val="center"/>
          </w:tcPr>
          <w:p>
            <w:pPr>
              <w:spacing w:after="0" w:before="0" w:line="240" w:lineRule="auto"/>
            </w:pPr>
            <w:r>
              <w:rPr>
                <w:b w:val="0"/>
                <w:color w:val="000000"/>
                <w:sz w:val="21"/>
              </w:rPr>
              <w:t>0.195</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16.24%</w:t>
            </w:r>
          </w:p>
        </w:tc>
        <w:tc>
          <w:tcPr>
            <w:tcW w:type="dxa" w:w="1152"/>
            <w:vAlign w:val="center"/>
          </w:tcPr>
          <w:p>
            <w:pPr>
              <w:spacing w:after="0" w:before="0" w:line="240" w:lineRule="auto"/>
            </w:pPr>
            <w:r>
              <w:rPr>
                <w:b w:val="0"/>
                <w:color w:val="000000"/>
                <w:sz w:val="21"/>
              </w:rPr>
              <w:t>9.60%</w:t>
            </w:r>
          </w:p>
        </w:tc>
        <w:tc>
          <w:tcPr>
            <w:tcW w:type="dxa" w:w="1080"/>
            <w:vAlign w:val="center"/>
          </w:tcPr>
          <w:p>
            <w:pPr>
              <w:spacing w:after="0" w:before="0" w:line="240" w:lineRule="auto"/>
            </w:pPr>
            <w:r>
              <w:rPr>
                <w:b w:val="0"/>
                <w:color w:val="000000"/>
                <w:sz w:val="21"/>
              </w:rPr>
              <w:t>1.303</w:t>
            </w:r>
          </w:p>
        </w:tc>
        <w:tc>
          <w:tcPr>
            <w:tcW w:type="dxa" w:w="1152"/>
            <w:vAlign w:val="center"/>
          </w:tcPr>
          <w:p>
            <w:pPr>
              <w:spacing w:after="0" w:before="0" w:line="240" w:lineRule="auto"/>
            </w:pPr>
            <w:r>
              <w:rPr>
                <w:b w:val="0"/>
                <w:color w:val="000000"/>
                <w:sz w:val="21"/>
              </w:rPr>
              <w:t>-8.48%</w:t>
            </w:r>
          </w:p>
        </w:tc>
        <w:tc>
          <w:tcPr>
            <w:tcW w:type="dxa" w:w="1224"/>
            <w:vAlign w:val="center"/>
          </w:tcPr>
          <w:p>
            <w:pPr>
              <w:spacing w:after="0" w:before="0" w:line="240" w:lineRule="auto"/>
            </w:pPr>
            <w:r>
              <w:rPr>
                <w:b w:val="0"/>
                <w:color w:val="000000"/>
                <w:sz w:val="21"/>
              </w:rPr>
              <w:t>7.17%</w:t>
            </w:r>
          </w:p>
        </w:tc>
        <w:tc>
          <w:tcPr>
            <w:tcW w:type="dxa" w:w="1080"/>
            <w:vAlign w:val="center"/>
          </w:tcPr>
          <w:p>
            <w:pPr>
              <w:spacing w:after="0" w:before="0" w:line="240" w:lineRule="auto"/>
            </w:pPr>
            <w:r>
              <w:rPr>
                <w:b w:val="0"/>
                <w:color w:val="000000"/>
                <w:sz w:val="21"/>
              </w:rPr>
              <w:t>0.216</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16.14%</w:t>
            </w:r>
          </w:p>
        </w:tc>
        <w:tc>
          <w:tcPr>
            <w:tcW w:type="dxa" w:w="1152"/>
            <w:vAlign w:val="center"/>
          </w:tcPr>
          <w:p>
            <w:pPr>
              <w:spacing w:after="0" w:before="0" w:line="240" w:lineRule="auto"/>
            </w:pPr>
            <w:r>
              <w:rPr>
                <w:b w:val="0"/>
                <w:color w:val="000000"/>
                <w:sz w:val="21"/>
              </w:rPr>
              <w:t>9.60%</w:t>
            </w:r>
          </w:p>
        </w:tc>
        <w:tc>
          <w:tcPr>
            <w:tcW w:type="dxa" w:w="1080"/>
            <w:vAlign w:val="center"/>
          </w:tcPr>
          <w:p>
            <w:pPr>
              <w:spacing w:after="0" w:before="0" w:line="240" w:lineRule="auto"/>
            </w:pPr>
            <w:r>
              <w:rPr>
                <w:b w:val="0"/>
                <w:color w:val="000000"/>
                <w:sz w:val="21"/>
              </w:rPr>
              <w:t>1.295</w:t>
            </w:r>
          </w:p>
        </w:tc>
        <w:tc>
          <w:tcPr>
            <w:tcW w:type="dxa" w:w="1152"/>
            <w:vAlign w:val="center"/>
          </w:tcPr>
          <w:p>
            <w:pPr>
              <w:spacing w:after="0" w:before="0" w:line="240" w:lineRule="auto"/>
            </w:pPr>
            <w:r>
              <w:rPr>
                <w:b w:val="0"/>
                <w:color w:val="000000"/>
                <w:sz w:val="21"/>
              </w:rPr>
              <w:t>-8.48%</w:t>
            </w:r>
          </w:p>
        </w:tc>
        <w:tc>
          <w:tcPr>
            <w:tcW w:type="dxa" w:w="1224"/>
            <w:vAlign w:val="center"/>
          </w:tcPr>
          <w:p>
            <w:pPr>
              <w:spacing w:after="0" w:before="0" w:line="240" w:lineRule="auto"/>
            </w:pPr>
            <w:r>
              <w:rPr>
                <w:b w:val="0"/>
                <w:color w:val="000000"/>
                <w:sz w:val="21"/>
              </w:rPr>
              <w:t>7.09%</w:t>
            </w:r>
          </w:p>
        </w:tc>
        <w:tc>
          <w:tcPr>
            <w:tcW w:type="dxa" w:w="1080"/>
            <w:vAlign w:val="center"/>
          </w:tcPr>
          <w:p>
            <w:pPr>
              <w:spacing w:after="0" w:before="0" w:line="240" w:lineRule="auto"/>
            </w:pPr>
            <w:r>
              <w:rPr>
                <w:b w:val="0"/>
                <w:color w:val="000000"/>
                <w:sz w:val="21"/>
              </w:rPr>
              <w:t>0.216</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15.80%</w:t>
            </w:r>
          </w:p>
        </w:tc>
        <w:tc>
          <w:tcPr>
            <w:tcW w:type="dxa" w:w="1152"/>
            <w:vAlign w:val="center"/>
          </w:tcPr>
          <w:p>
            <w:pPr>
              <w:spacing w:after="0" w:before="0" w:line="240" w:lineRule="auto"/>
            </w:pPr>
            <w:r>
              <w:rPr>
                <w:b w:val="0"/>
                <w:color w:val="000000"/>
                <w:sz w:val="21"/>
              </w:rPr>
              <w:t>9.58%</w:t>
            </w:r>
          </w:p>
        </w:tc>
        <w:tc>
          <w:tcPr>
            <w:tcW w:type="dxa" w:w="1080"/>
            <w:vAlign w:val="center"/>
          </w:tcPr>
          <w:p>
            <w:pPr>
              <w:spacing w:after="0" w:before="0" w:line="240" w:lineRule="auto"/>
            </w:pPr>
            <w:r>
              <w:rPr>
                <w:b w:val="0"/>
                <w:color w:val="000000"/>
                <w:sz w:val="21"/>
              </w:rPr>
              <w:t>1.267</w:t>
            </w:r>
          </w:p>
        </w:tc>
        <w:tc>
          <w:tcPr>
            <w:tcW w:type="dxa" w:w="1152"/>
            <w:vAlign w:val="center"/>
          </w:tcPr>
          <w:p>
            <w:pPr>
              <w:spacing w:after="0" w:before="0" w:line="240" w:lineRule="auto"/>
            </w:pPr>
            <w:r>
              <w:rPr>
                <w:b w:val="0"/>
                <w:color w:val="000000"/>
                <w:sz w:val="21"/>
              </w:rPr>
              <w:t>-8.49%</w:t>
            </w:r>
          </w:p>
        </w:tc>
        <w:tc>
          <w:tcPr>
            <w:tcW w:type="dxa" w:w="1224"/>
            <w:vAlign w:val="center"/>
          </w:tcPr>
          <w:p>
            <w:pPr>
              <w:spacing w:after="0" w:before="0" w:line="240" w:lineRule="auto"/>
            </w:pPr>
            <w:r>
              <w:rPr>
                <w:b w:val="0"/>
                <w:color w:val="000000"/>
                <w:sz w:val="21"/>
              </w:rPr>
              <w:t>6.79%</w:t>
            </w:r>
          </w:p>
        </w:tc>
        <w:tc>
          <w:tcPr>
            <w:tcW w:type="dxa" w:w="1080"/>
            <w:vAlign w:val="center"/>
          </w:tcPr>
          <w:p>
            <w:pPr>
              <w:spacing w:after="0" w:before="0" w:line="240" w:lineRule="auto"/>
            </w:pPr>
            <w:r>
              <w:rPr>
                <w:b w:val="0"/>
                <w:color w:val="000000"/>
                <w:sz w:val="21"/>
              </w:rPr>
              <w:t>0.216</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15.08%</w:t>
            </w:r>
          </w:p>
        </w:tc>
        <w:tc>
          <w:tcPr>
            <w:tcW w:type="dxa" w:w="1152"/>
            <w:vAlign w:val="center"/>
          </w:tcPr>
          <w:p>
            <w:pPr>
              <w:spacing w:after="0" w:before="0" w:line="240" w:lineRule="auto"/>
            </w:pPr>
            <w:r>
              <w:rPr>
                <w:b w:val="0"/>
                <w:color w:val="000000"/>
                <w:sz w:val="21"/>
              </w:rPr>
              <w:t>9.55%</w:t>
            </w:r>
          </w:p>
        </w:tc>
        <w:tc>
          <w:tcPr>
            <w:tcW w:type="dxa" w:w="1080"/>
            <w:vAlign w:val="center"/>
          </w:tcPr>
          <w:p>
            <w:pPr>
              <w:spacing w:after="0" w:before="0" w:line="240" w:lineRule="auto"/>
            </w:pPr>
            <w:r>
              <w:rPr>
                <w:b w:val="0"/>
                <w:color w:val="000000"/>
                <w:sz w:val="21"/>
              </w:rPr>
              <w:t>1.205</w:t>
            </w:r>
          </w:p>
        </w:tc>
        <w:tc>
          <w:tcPr>
            <w:tcW w:type="dxa" w:w="1152"/>
            <w:vAlign w:val="center"/>
          </w:tcPr>
          <w:p>
            <w:pPr>
              <w:spacing w:after="0" w:before="0" w:line="240" w:lineRule="auto"/>
            </w:pPr>
            <w:r>
              <w:rPr>
                <w:b w:val="0"/>
                <w:color w:val="000000"/>
                <w:sz w:val="21"/>
              </w:rPr>
              <w:t>-8.51%</w:t>
            </w:r>
          </w:p>
        </w:tc>
        <w:tc>
          <w:tcPr>
            <w:tcW w:type="dxa" w:w="1224"/>
            <w:vAlign w:val="center"/>
          </w:tcPr>
          <w:p>
            <w:pPr>
              <w:spacing w:after="0" w:before="0" w:line="240" w:lineRule="auto"/>
            </w:pPr>
            <w:r>
              <w:rPr>
                <w:b w:val="0"/>
                <w:color w:val="000000"/>
                <w:sz w:val="21"/>
              </w:rPr>
              <w:t>6.17%</w:t>
            </w:r>
          </w:p>
        </w:tc>
        <w:tc>
          <w:tcPr>
            <w:tcW w:type="dxa" w:w="1080"/>
            <w:vAlign w:val="center"/>
          </w:tcPr>
          <w:p>
            <w:pPr>
              <w:spacing w:after="0" w:before="0" w:line="240" w:lineRule="auto"/>
            </w:pPr>
            <w:r>
              <w:rPr>
                <w:b w:val="0"/>
                <w:color w:val="000000"/>
                <w:sz w:val="21"/>
              </w:rPr>
              <w:t>0.217</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6.24%</w:t>
            </w:r>
          </w:p>
        </w:tc>
        <w:tc>
          <w:tcPr>
            <w:tcW w:type="dxa" w:w="1152"/>
            <w:vAlign w:val="center"/>
          </w:tcPr>
          <w:p>
            <w:pPr>
              <w:spacing w:after="0" w:before="0" w:line="240" w:lineRule="auto"/>
            </w:pPr>
            <w:r>
              <w:rPr>
                <w:b w:val="0"/>
                <w:color w:val="000000"/>
                <w:sz w:val="21"/>
              </w:rPr>
              <w:t>2.32%</w:t>
            </w:r>
          </w:p>
        </w:tc>
        <w:tc>
          <w:tcPr>
            <w:tcW w:type="dxa" w:w="1080"/>
            <w:vAlign w:val="center"/>
          </w:tcPr>
          <w:p>
            <w:pPr>
              <w:spacing w:after="0" w:before="0" w:line="240" w:lineRule="auto"/>
            </w:pPr>
            <w:r>
              <w:rPr>
                <w:b w:val="0"/>
                <w:color w:val="000000"/>
                <w:sz w:val="21"/>
              </w:rPr>
              <w:t>1.331</w:t>
            </w:r>
          </w:p>
        </w:tc>
        <w:tc>
          <w:tcPr>
            <w:tcW w:type="dxa" w:w="1152"/>
            <w:vAlign w:val="center"/>
          </w:tcPr>
          <w:p>
            <w:pPr>
              <w:spacing w:after="0" w:before="0" w:line="240" w:lineRule="auto"/>
            </w:pPr>
            <w:r>
              <w:rPr>
                <w:b w:val="0"/>
                <w:color w:val="000000"/>
                <w:sz w:val="21"/>
              </w:rPr>
              <w:t>-2.31%</w:t>
            </w:r>
          </w:p>
        </w:tc>
        <w:tc>
          <w:tcPr>
            <w:tcW w:type="dxa" w:w="1224"/>
            <w:vAlign w:val="center"/>
          </w:tcPr>
          <w:p>
            <w:pPr>
              <w:spacing w:after="0" w:before="0" w:line="240" w:lineRule="auto"/>
            </w:pPr>
            <w:r>
              <w:rPr>
                <w:b w:val="0"/>
                <w:color w:val="000000"/>
                <w:sz w:val="21"/>
              </w:rPr>
              <w:t>2.19%</w:t>
            </w:r>
          </w:p>
        </w:tc>
        <w:tc>
          <w:tcPr>
            <w:tcW w:type="dxa" w:w="1080"/>
            <w:vAlign w:val="center"/>
          </w:tcPr>
          <w:p>
            <w:pPr>
              <w:spacing w:after="0" w:before="0" w:line="240" w:lineRule="auto"/>
            </w:pPr>
            <w:r>
              <w:rPr>
                <w:b w:val="0"/>
                <w:color w:val="000000"/>
                <w:sz w:val="21"/>
              </w:rPr>
              <w:t>0.036</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6.21%</w:t>
            </w:r>
          </w:p>
        </w:tc>
        <w:tc>
          <w:tcPr>
            <w:tcW w:type="dxa" w:w="1152"/>
            <w:vAlign w:val="center"/>
          </w:tcPr>
          <w:p>
            <w:pPr>
              <w:spacing w:after="0" w:before="0" w:line="240" w:lineRule="auto"/>
            </w:pPr>
            <w:r>
              <w:rPr>
                <w:b w:val="0"/>
                <w:color w:val="000000"/>
                <w:sz w:val="21"/>
              </w:rPr>
              <w:t>2.32%</w:t>
            </w:r>
          </w:p>
        </w:tc>
        <w:tc>
          <w:tcPr>
            <w:tcW w:type="dxa" w:w="1080"/>
            <w:vAlign w:val="center"/>
          </w:tcPr>
          <w:p>
            <w:pPr>
              <w:spacing w:after="0" w:before="0" w:line="240" w:lineRule="auto"/>
            </w:pPr>
            <w:r>
              <w:rPr>
                <w:b w:val="0"/>
                <w:color w:val="000000"/>
                <w:sz w:val="21"/>
              </w:rPr>
              <w:t>1.320</w:t>
            </w:r>
          </w:p>
        </w:tc>
        <w:tc>
          <w:tcPr>
            <w:tcW w:type="dxa" w:w="1152"/>
            <w:vAlign w:val="center"/>
          </w:tcPr>
          <w:p>
            <w:pPr>
              <w:spacing w:after="0" w:before="0" w:line="240" w:lineRule="auto"/>
            </w:pPr>
            <w:r>
              <w:rPr>
                <w:b w:val="0"/>
                <w:color w:val="000000"/>
                <w:sz w:val="21"/>
              </w:rPr>
              <w:t>-2.32%</w:t>
            </w:r>
          </w:p>
        </w:tc>
        <w:tc>
          <w:tcPr>
            <w:tcW w:type="dxa" w:w="1224"/>
            <w:vAlign w:val="center"/>
          </w:tcPr>
          <w:p>
            <w:pPr>
              <w:spacing w:after="0" w:before="0" w:line="240" w:lineRule="auto"/>
            </w:pPr>
            <w:r>
              <w:rPr>
                <w:b w:val="0"/>
                <w:color w:val="000000"/>
                <w:sz w:val="21"/>
              </w:rPr>
              <w:t>2.17%</w:t>
            </w:r>
          </w:p>
        </w:tc>
        <w:tc>
          <w:tcPr>
            <w:tcW w:type="dxa" w:w="1080"/>
            <w:vAlign w:val="center"/>
          </w:tcPr>
          <w:p>
            <w:pPr>
              <w:spacing w:after="0" w:before="0" w:line="240" w:lineRule="auto"/>
            </w:pPr>
            <w:r>
              <w:rPr>
                <w:b w:val="0"/>
                <w:color w:val="000000"/>
                <w:sz w:val="21"/>
              </w:rPr>
              <w:t>0.036</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6.12%</w:t>
            </w:r>
          </w:p>
        </w:tc>
        <w:tc>
          <w:tcPr>
            <w:tcW w:type="dxa" w:w="1152"/>
            <w:vAlign w:val="center"/>
          </w:tcPr>
          <w:p>
            <w:pPr>
              <w:spacing w:after="0" w:before="0" w:line="240" w:lineRule="auto"/>
            </w:pPr>
            <w:r>
              <w:rPr>
                <w:b w:val="0"/>
                <w:color w:val="000000"/>
                <w:sz w:val="21"/>
              </w:rPr>
              <w:t>2.33%</w:t>
            </w:r>
          </w:p>
        </w:tc>
        <w:tc>
          <w:tcPr>
            <w:tcW w:type="dxa" w:w="1080"/>
            <w:vAlign w:val="center"/>
          </w:tcPr>
          <w:p>
            <w:pPr>
              <w:spacing w:after="0" w:before="0" w:line="240" w:lineRule="auto"/>
            </w:pPr>
            <w:r>
              <w:rPr>
                <w:b w:val="0"/>
                <w:color w:val="000000"/>
                <w:sz w:val="21"/>
              </w:rPr>
              <w:t>1.279</w:t>
            </w:r>
          </w:p>
        </w:tc>
        <w:tc>
          <w:tcPr>
            <w:tcW w:type="dxa" w:w="1152"/>
            <w:vAlign w:val="center"/>
          </w:tcPr>
          <w:p>
            <w:pPr>
              <w:spacing w:after="0" w:before="0" w:line="240" w:lineRule="auto"/>
            </w:pPr>
            <w:r>
              <w:rPr>
                <w:b w:val="0"/>
                <w:color w:val="000000"/>
                <w:sz w:val="21"/>
              </w:rPr>
              <w:t>-2.37%</w:t>
            </w:r>
          </w:p>
        </w:tc>
        <w:tc>
          <w:tcPr>
            <w:tcW w:type="dxa" w:w="1224"/>
            <w:vAlign w:val="center"/>
          </w:tcPr>
          <w:p>
            <w:pPr>
              <w:spacing w:after="0" w:before="0" w:line="240" w:lineRule="auto"/>
            </w:pPr>
            <w:r>
              <w:rPr>
                <w:b w:val="0"/>
                <w:color w:val="000000"/>
                <w:sz w:val="21"/>
              </w:rPr>
              <w:t>2.08%</w:t>
            </w:r>
          </w:p>
        </w:tc>
        <w:tc>
          <w:tcPr>
            <w:tcW w:type="dxa" w:w="1080"/>
            <w:vAlign w:val="center"/>
          </w:tcPr>
          <w:p>
            <w:pPr>
              <w:spacing w:after="0" w:before="0" w:line="240" w:lineRule="auto"/>
            </w:pPr>
            <w:r>
              <w:rPr>
                <w:b w:val="0"/>
                <w:color w:val="000000"/>
                <w:sz w:val="21"/>
              </w:rPr>
              <w:t>0.036</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5.93%</w:t>
            </w:r>
          </w:p>
        </w:tc>
        <w:tc>
          <w:tcPr>
            <w:tcW w:type="dxa" w:w="1152"/>
            <w:vAlign w:val="center"/>
          </w:tcPr>
          <w:p>
            <w:pPr>
              <w:spacing w:after="0" w:before="0" w:line="240" w:lineRule="auto"/>
            </w:pPr>
            <w:r>
              <w:rPr>
                <w:b w:val="0"/>
                <w:color w:val="000000"/>
                <w:sz w:val="21"/>
              </w:rPr>
              <w:t>2.34%</w:t>
            </w:r>
          </w:p>
        </w:tc>
        <w:tc>
          <w:tcPr>
            <w:tcW w:type="dxa" w:w="1080"/>
            <w:vAlign w:val="center"/>
          </w:tcPr>
          <w:p>
            <w:pPr>
              <w:spacing w:after="0" w:before="0" w:line="240" w:lineRule="auto"/>
            </w:pPr>
            <w:r>
              <w:rPr>
                <w:b w:val="0"/>
                <w:color w:val="000000"/>
                <w:sz w:val="21"/>
              </w:rPr>
              <w:t>1.193</w:t>
            </w:r>
          </w:p>
        </w:tc>
        <w:tc>
          <w:tcPr>
            <w:tcW w:type="dxa" w:w="1152"/>
            <w:vAlign w:val="center"/>
          </w:tcPr>
          <w:p>
            <w:pPr>
              <w:spacing w:after="0" w:before="0" w:line="240" w:lineRule="auto"/>
            </w:pPr>
            <w:r>
              <w:rPr>
                <w:b w:val="0"/>
                <w:color w:val="000000"/>
                <w:sz w:val="21"/>
              </w:rPr>
              <w:t>-2.48%</w:t>
            </w:r>
          </w:p>
        </w:tc>
        <w:tc>
          <w:tcPr>
            <w:tcW w:type="dxa" w:w="1224"/>
            <w:vAlign w:val="center"/>
          </w:tcPr>
          <w:p>
            <w:pPr>
              <w:spacing w:after="0" w:before="0" w:line="240" w:lineRule="auto"/>
            </w:pPr>
            <w:r>
              <w:rPr>
                <w:b w:val="0"/>
                <w:color w:val="000000"/>
                <w:sz w:val="21"/>
              </w:rPr>
              <w:t>1.90%</w:t>
            </w:r>
          </w:p>
        </w:tc>
        <w:tc>
          <w:tcPr>
            <w:tcW w:type="dxa" w:w="1080"/>
            <w:vAlign w:val="center"/>
          </w:tcPr>
          <w:p>
            <w:pPr>
              <w:spacing w:after="0" w:before="0" w:line="240" w:lineRule="auto"/>
            </w:pPr>
            <w:r>
              <w:rPr>
                <w:b w:val="0"/>
                <w:color w:val="000000"/>
                <w:sz w:val="21"/>
              </w:rPr>
              <w:t>0.036</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17.51%</w:t>
            </w:r>
          </w:p>
        </w:tc>
        <w:tc>
          <w:tcPr>
            <w:tcW w:type="dxa" w:w="1152"/>
            <w:vAlign w:val="center"/>
          </w:tcPr>
          <w:p>
            <w:pPr>
              <w:spacing w:after="0" w:before="0" w:line="240" w:lineRule="auto"/>
            </w:pPr>
            <w:r>
              <w:rPr>
                <w:b w:val="0"/>
                <w:color w:val="000000"/>
                <w:sz w:val="21"/>
              </w:rPr>
              <w:t>8.95%</w:t>
            </w:r>
          </w:p>
        </w:tc>
        <w:tc>
          <w:tcPr>
            <w:tcW w:type="dxa" w:w="1080"/>
            <w:vAlign w:val="center"/>
          </w:tcPr>
          <w:p>
            <w:pPr>
              <w:spacing w:after="0" w:before="0" w:line="240" w:lineRule="auto"/>
            </w:pPr>
            <w:r>
              <w:rPr>
                <w:b w:val="0"/>
                <w:color w:val="000000"/>
                <w:sz w:val="21"/>
              </w:rPr>
              <w:t>1.513</w:t>
            </w:r>
          </w:p>
        </w:tc>
        <w:tc>
          <w:tcPr>
            <w:tcW w:type="dxa" w:w="1152"/>
            <w:vAlign w:val="center"/>
          </w:tcPr>
          <w:p>
            <w:pPr>
              <w:spacing w:after="0" w:before="0" w:line="240" w:lineRule="auto"/>
            </w:pPr>
            <w:r>
              <w:rPr>
                <w:b w:val="0"/>
                <w:color w:val="000000"/>
                <w:sz w:val="21"/>
              </w:rPr>
              <w:t>-6.53%</w:t>
            </w:r>
          </w:p>
        </w:tc>
        <w:tc>
          <w:tcPr>
            <w:tcW w:type="dxa" w:w="1224"/>
            <w:vAlign w:val="center"/>
          </w:tcPr>
          <w:p>
            <w:pPr>
              <w:spacing w:after="0" w:before="0" w:line="240" w:lineRule="auto"/>
            </w:pPr>
            <w:r>
              <w:rPr>
                <w:b w:val="0"/>
                <w:color w:val="000000"/>
                <w:sz w:val="21"/>
              </w:rPr>
              <w:t>6.72%</w:t>
            </w:r>
          </w:p>
        </w:tc>
        <w:tc>
          <w:tcPr>
            <w:tcW w:type="dxa" w:w="1080"/>
            <w:vAlign w:val="center"/>
          </w:tcPr>
          <w:p>
            <w:pPr>
              <w:spacing w:after="0" w:before="0" w:line="240" w:lineRule="auto"/>
            </w:pPr>
            <w:r>
              <w:rPr>
                <w:b w:val="0"/>
                <w:color w:val="000000"/>
                <w:sz w:val="21"/>
              </w:rPr>
              <w:t>0.276</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17.43%</w:t>
            </w:r>
          </w:p>
        </w:tc>
        <w:tc>
          <w:tcPr>
            <w:tcW w:type="dxa" w:w="1152"/>
            <w:vAlign w:val="center"/>
          </w:tcPr>
          <w:p>
            <w:pPr>
              <w:spacing w:after="0" w:before="0" w:line="240" w:lineRule="auto"/>
            </w:pPr>
            <w:r>
              <w:rPr>
                <w:b w:val="0"/>
                <w:color w:val="000000"/>
                <w:sz w:val="21"/>
              </w:rPr>
              <w:t>8.95%</w:t>
            </w:r>
          </w:p>
        </w:tc>
        <w:tc>
          <w:tcPr>
            <w:tcW w:type="dxa" w:w="1080"/>
            <w:vAlign w:val="center"/>
          </w:tcPr>
          <w:p>
            <w:pPr>
              <w:spacing w:after="0" w:before="0" w:line="240" w:lineRule="auto"/>
            </w:pPr>
            <w:r>
              <w:rPr>
                <w:b w:val="0"/>
                <w:color w:val="000000"/>
                <w:sz w:val="21"/>
              </w:rPr>
              <w:t>1.506</w:t>
            </w:r>
          </w:p>
        </w:tc>
        <w:tc>
          <w:tcPr>
            <w:tcW w:type="dxa" w:w="1152"/>
            <w:vAlign w:val="center"/>
          </w:tcPr>
          <w:p>
            <w:pPr>
              <w:spacing w:after="0" w:before="0" w:line="240" w:lineRule="auto"/>
            </w:pPr>
            <w:r>
              <w:rPr>
                <w:b w:val="0"/>
                <w:color w:val="000000"/>
                <w:sz w:val="21"/>
              </w:rPr>
              <w:t>-6.56%</w:t>
            </w:r>
          </w:p>
        </w:tc>
        <w:tc>
          <w:tcPr>
            <w:tcW w:type="dxa" w:w="1224"/>
            <w:vAlign w:val="center"/>
          </w:tcPr>
          <w:p>
            <w:pPr>
              <w:spacing w:after="0" w:before="0" w:line="240" w:lineRule="auto"/>
            </w:pPr>
            <w:r>
              <w:rPr>
                <w:b w:val="0"/>
                <w:color w:val="000000"/>
                <w:sz w:val="21"/>
              </w:rPr>
              <w:t>6.65%</w:t>
            </w:r>
          </w:p>
        </w:tc>
        <w:tc>
          <w:tcPr>
            <w:tcW w:type="dxa" w:w="1080"/>
            <w:vAlign w:val="center"/>
          </w:tcPr>
          <w:p>
            <w:pPr>
              <w:spacing w:after="0" w:before="0" w:line="240" w:lineRule="auto"/>
            </w:pPr>
            <w:r>
              <w:rPr>
                <w:b w:val="0"/>
                <w:color w:val="000000"/>
                <w:sz w:val="21"/>
              </w:rPr>
              <w:t>0.276</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17.16%</w:t>
            </w:r>
          </w:p>
        </w:tc>
        <w:tc>
          <w:tcPr>
            <w:tcW w:type="dxa" w:w="1152"/>
            <w:vAlign w:val="center"/>
          </w:tcPr>
          <w:p>
            <w:pPr>
              <w:spacing w:after="0" w:before="0" w:line="240" w:lineRule="auto"/>
            </w:pPr>
            <w:r>
              <w:rPr>
                <w:b w:val="0"/>
                <w:color w:val="000000"/>
                <w:sz w:val="21"/>
              </w:rPr>
              <w:t>8.94%</w:t>
            </w:r>
          </w:p>
        </w:tc>
        <w:tc>
          <w:tcPr>
            <w:tcW w:type="dxa" w:w="1080"/>
            <w:vAlign w:val="center"/>
          </w:tcPr>
          <w:p>
            <w:pPr>
              <w:spacing w:after="0" w:before="0" w:line="240" w:lineRule="auto"/>
            </w:pPr>
            <w:r>
              <w:rPr>
                <w:b w:val="0"/>
                <w:color w:val="000000"/>
                <w:sz w:val="21"/>
              </w:rPr>
              <w:t>1.481</w:t>
            </w:r>
          </w:p>
        </w:tc>
        <w:tc>
          <w:tcPr>
            <w:tcW w:type="dxa" w:w="1152"/>
            <w:vAlign w:val="center"/>
          </w:tcPr>
          <w:p>
            <w:pPr>
              <w:spacing w:after="0" w:before="0" w:line="240" w:lineRule="auto"/>
            </w:pPr>
            <w:r>
              <w:rPr>
                <w:b w:val="0"/>
                <w:color w:val="000000"/>
                <w:sz w:val="21"/>
              </w:rPr>
              <w:t>-6.65%</w:t>
            </w:r>
          </w:p>
        </w:tc>
        <w:tc>
          <w:tcPr>
            <w:tcW w:type="dxa" w:w="1224"/>
            <w:vAlign w:val="center"/>
          </w:tcPr>
          <w:p>
            <w:pPr>
              <w:spacing w:after="0" w:before="0" w:line="240" w:lineRule="auto"/>
            </w:pPr>
            <w:r>
              <w:rPr>
                <w:b w:val="0"/>
                <w:color w:val="000000"/>
                <w:sz w:val="21"/>
              </w:rPr>
              <w:t>6.42%</w:t>
            </w:r>
          </w:p>
        </w:tc>
        <w:tc>
          <w:tcPr>
            <w:tcW w:type="dxa" w:w="1080"/>
            <w:vAlign w:val="center"/>
          </w:tcPr>
          <w:p>
            <w:pPr>
              <w:spacing w:after="0" w:before="0" w:line="240" w:lineRule="auto"/>
            </w:pPr>
            <w:r>
              <w:rPr>
                <w:b w:val="0"/>
                <w:color w:val="000000"/>
                <w:sz w:val="21"/>
              </w:rPr>
              <w:t>0.276</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16.58%</w:t>
            </w:r>
          </w:p>
        </w:tc>
        <w:tc>
          <w:tcPr>
            <w:tcW w:type="dxa" w:w="1152"/>
            <w:vAlign w:val="center"/>
          </w:tcPr>
          <w:p>
            <w:pPr>
              <w:spacing w:after="0" w:before="0" w:line="240" w:lineRule="auto"/>
            </w:pPr>
            <w:r>
              <w:rPr>
                <w:b w:val="0"/>
                <w:color w:val="000000"/>
                <w:sz w:val="21"/>
              </w:rPr>
              <w:t>8.93%</w:t>
            </w:r>
          </w:p>
        </w:tc>
        <w:tc>
          <w:tcPr>
            <w:tcW w:type="dxa" w:w="1080"/>
            <w:vAlign w:val="center"/>
          </w:tcPr>
          <w:p>
            <w:pPr>
              <w:spacing w:after="0" w:before="0" w:line="240" w:lineRule="auto"/>
            </w:pPr>
            <w:r>
              <w:rPr>
                <w:b w:val="0"/>
                <w:color w:val="000000"/>
                <w:sz w:val="21"/>
              </w:rPr>
              <w:t>1.427</w:t>
            </w:r>
          </w:p>
        </w:tc>
        <w:tc>
          <w:tcPr>
            <w:tcW w:type="dxa" w:w="1152"/>
            <w:vAlign w:val="center"/>
          </w:tcPr>
          <w:p>
            <w:pPr>
              <w:spacing w:after="0" w:before="0" w:line="240" w:lineRule="auto"/>
            </w:pPr>
            <w:r>
              <w:rPr>
                <w:b w:val="0"/>
                <w:color w:val="000000"/>
                <w:sz w:val="21"/>
              </w:rPr>
              <w:t>-6.85%</w:t>
            </w:r>
          </w:p>
        </w:tc>
        <w:tc>
          <w:tcPr>
            <w:tcW w:type="dxa" w:w="1224"/>
            <w:vAlign w:val="center"/>
          </w:tcPr>
          <w:p>
            <w:pPr>
              <w:spacing w:after="0" w:before="0" w:line="240" w:lineRule="auto"/>
            </w:pPr>
            <w:r>
              <w:rPr>
                <w:b w:val="0"/>
                <w:color w:val="000000"/>
                <w:sz w:val="21"/>
              </w:rPr>
              <w:t>5.94%</w:t>
            </w:r>
          </w:p>
        </w:tc>
        <w:tc>
          <w:tcPr>
            <w:tcW w:type="dxa" w:w="1080"/>
            <w:vAlign w:val="center"/>
          </w:tcPr>
          <w:p>
            <w:pPr>
              <w:spacing w:after="0" w:before="0" w:line="240" w:lineRule="auto"/>
            </w:pPr>
            <w:r>
              <w:rPr>
                <w:b w:val="0"/>
                <w:color w:val="000000"/>
                <w:sz w:val="21"/>
              </w:rPr>
              <w:t>0.277</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28.40%</w:t>
            </w:r>
          </w:p>
        </w:tc>
        <w:tc>
          <w:tcPr>
            <w:tcW w:type="dxa" w:w="1152"/>
            <w:vAlign w:val="center"/>
          </w:tcPr>
          <w:p>
            <w:pPr>
              <w:spacing w:after="0" w:before="0" w:line="240" w:lineRule="auto"/>
            </w:pPr>
            <w:r>
              <w:rPr>
                <w:b w:val="0"/>
                <w:color w:val="000000"/>
                <w:sz w:val="21"/>
              </w:rPr>
              <w:t>23.26%</w:t>
            </w:r>
          </w:p>
        </w:tc>
        <w:tc>
          <w:tcPr>
            <w:tcW w:type="dxa" w:w="1080"/>
            <w:vAlign w:val="center"/>
          </w:tcPr>
          <w:p>
            <w:pPr>
              <w:spacing w:after="0" w:before="0" w:line="240" w:lineRule="auto"/>
            </w:pPr>
            <w:r>
              <w:rPr>
                <w:b w:val="0"/>
                <w:color w:val="000000"/>
                <w:sz w:val="21"/>
              </w:rPr>
              <w:t>1.063</w:t>
            </w:r>
          </w:p>
        </w:tc>
        <w:tc>
          <w:tcPr>
            <w:tcW w:type="dxa" w:w="1152"/>
            <w:vAlign w:val="center"/>
          </w:tcPr>
          <w:p>
            <w:pPr>
              <w:spacing w:after="0" w:before="0" w:line="240" w:lineRule="auto"/>
            </w:pPr>
            <w:r>
              <w:rPr>
                <w:b w:val="0"/>
                <w:color w:val="000000"/>
                <w:sz w:val="21"/>
              </w:rPr>
              <w:t>-28.56%</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28.39%</w:t>
            </w:r>
          </w:p>
        </w:tc>
        <w:tc>
          <w:tcPr>
            <w:tcW w:type="dxa" w:w="1152"/>
            <w:vAlign w:val="center"/>
          </w:tcPr>
          <w:p>
            <w:pPr>
              <w:spacing w:after="0" w:before="0" w:line="240" w:lineRule="auto"/>
            </w:pPr>
            <w:r>
              <w:rPr>
                <w:b w:val="0"/>
                <w:color w:val="000000"/>
                <w:sz w:val="21"/>
              </w:rPr>
              <w:t>23.26%</w:t>
            </w:r>
          </w:p>
        </w:tc>
        <w:tc>
          <w:tcPr>
            <w:tcW w:type="dxa" w:w="1080"/>
            <w:vAlign w:val="center"/>
          </w:tcPr>
          <w:p>
            <w:pPr>
              <w:spacing w:after="0" w:before="0" w:line="240" w:lineRule="auto"/>
            </w:pPr>
            <w:r>
              <w:rPr>
                <w:b w:val="0"/>
                <w:color w:val="000000"/>
                <w:sz w:val="21"/>
              </w:rPr>
              <w:t>1.063</w:t>
            </w:r>
          </w:p>
        </w:tc>
        <w:tc>
          <w:tcPr>
            <w:tcW w:type="dxa" w:w="1152"/>
            <w:vAlign w:val="center"/>
          </w:tcPr>
          <w:p>
            <w:pPr>
              <w:spacing w:after="0" w:before="0" w:line="240" w:lineRule="auto"/>
            </w:pPr>
            <w:r>
              <w:rPr>
                <w:b w:val="0"/>
                <w:color w:val="000000"/>
                <w:sz w:val="21"/>
              </w:rPr>
              <w:t>-28.56%</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28.35%</w:t>
            </w:r>
          </w:p>
        </w:tc>
        <w:tc>
          <w:tcPr>
            <w:tcW w:type="dxa" w:w="1152"/>
            <w:vAlign w:val="center"/>
          </w:tcPr>
          <w:p>
            <w:pPr>
              <w:spacing w:after="0" w:before="0" w:line="240" w:lineRule="auto"/>
            </w:pPr>
            <w:r>
              <w:rPr>
                <w:b w:val="0"/>
                <w:color w:val="000000"/>
                <w:sz w:val="21"/>
              </w:rPr>
              <w:t>23.26%</w:t>
            </w:r>
          </w:p>
        </w:tc>
        <w:tc>
          <w:tcPr>
            <w:tcW w:type="dxa" w:w="1080"/>
            <w:vAlign w:val="center"/>
          </w:tcPr>
          <w:p>
            <w:pPr>
              <w:spacing w:after="0" w:before="0" w:line="240" w:lineRule="auto"/>
            </w:pPr>
            <w:r>
              <w:rPr>
                <w:b w:val="0"/>
                <w:color w:val="000000"/>
                <w:sz w:val="21"/>
              </w:rPr>
              <w:t>1.061</w:t>
            </w:r>
          </w:p>
        </w:tc>
        <w:tc>
          <w:tcPr>
            <w:tcW w:type="dxa" w:w="1152"/>
            <w:vAlign w:val="center"/>
          </w:tcPr>
          <w:p>
            <w:pPr>
              <w:spacing w:after="0" w:before="0" w:line="240" w:lineRule="auto"/>
            </w:pPr>
            <w:r>
              <w:rPr>
                <w:b w:val="0"/>
                <w:color w:val="000000"/>
                <w:sz w:val="21"/>
              </w:rPr>
              <w:t>-28.56%</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28.25%</w:t>
            </w:r>
          </w:p>
        </w:tc>
        <w:tc>
          <w:tcPr>
            <w:tcW w:type="dxa" w:w="1152"/>
            <w:vAlign w:val="center"/>
          </w:tcPr>
          <w:p>
            <w:pPr>
              <w:spacing w:after="0" w:before="0" w:line="240" w:lineRule="auto"/>
            </w:pPr>
            <w:r>
              <w:rPr>
                <w:b w:val="0"/>
                <w:color w:val="000000"/>
                <w:sz w:val="21"/>
              </w:rPr>
              <w:t>23.26%</w:t>
            </w:r>
          </w:p>
        </w:tc>
        <w:tc>
          <w:tcPr>
            <w:tcW w:type="dxa" w:w="1080"/>
            <w:vAlign w:val="center"/>
          </w:tcPr>
          <w:p>
            <w:pPr>
              <w:spacing w:after="0" w:before="0" w:line="240" w:lineRule="auto"/>
            </w:pPr>
            <w:r>
              <w:rPr>
                <w:b w:val="0"/>
                <w:color w:val="000000"/>
                <w:sz w:val="21"/>
              </w:rPr>
              <w:t>1.058</w:t>
            </w:r>
          </w:p>
        </w:tc>
        <w:tc>
          <w:tcPr>
            <w:tcW w:type="dxa" w:w="1152"/>
            <w:vAlign w:val="center"/>
          </w:tcPr>
          <w:p>
            <w:pPr>
              <w:spacing w:after="0" w:before="0" w:line="240" w:lineRule="auto"/>
            </w:pPr>
            <w:r>
              <w:rPr>
                <w:b w:val="0"/>
                <w:color w:val="000000"/>
                <w:sz w:val="21"/>
              </w:rPr>
              <w:t>-28.56%</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bl>
    <w:p>
      <w:pPr>
        <w:spacing w:after="0"/>
      </w:pPr>
    </w:p>
    <w:p>
      <w:pPr>
        <w:spacing w:after="140"/>
      </w:pPr>
      <w:r>
        <w:rPr>
          <w:b w:val="0"/>
          <w:i w:val="0"/>
          <w:sz w:val="21"/>
        </w:rPr>
        <w:t>QQQ passive alpha and beta are its self-control identity (0 and 1), not an extra source of active skill. Matched cash controls have undefined cash-excess Sharpe and remain in the machine-readable control table. Full precision and residual diagnostics are available in the supplement.</w:t>
      </w:r>
    </w:p>
    <w:p>
      <w:pPr>
        <w:spacing w:after="140"/>
      </w:pPr>
      <w:r>
        <w:rPr>
          <w:b w:val="0"/>
          <w:i w:val="0"/>
          <w:sz w:val="22"/>
        </w:rPr>
        <w:t>Baseline terminal values from $1,000: Daily cap $1,734.02; Initial cap $1,818.13; Uncapped $1,272.38; Equal initial $1,900.13.</w:t>
      </w:r>
    </w:p>
    <w:p>
      <w:pPr>
        <w:pStyle w:val="Heading1"/>
        <w:pageBreakBefore/>
      </w:pPr>
      <w:r>
        <w:t>Appendix A Validation 2021 to 2023</w:t>
      </w:r>
    </w:p>
    <w:p>
      <w:pPr>
        <w:spacing w:after="140"/>
      </w:pPr>
      <w:r>
        <w:rPr>
          <w:b w:val="0"/>
          <w:i w:val="0"/>
          <w:sz w:val="22"/>
        </w:rPr>
        <w:t>Each row retains the same selected strategy definitions and initial weights. Costs are 1-bp commission plus the listed one-way slippage, each way. Volatility is annualized net return volatility; Sharpe is cash-excess; alpha is annualized arithmetic QQQ-relative intercept. CAGR, volatility, drawdown and alpha are percentages. Beta is unitless.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1800"/>
        <w:gridCol w:w="720"/>
        <w:gridCol w:w="1152"/>
        <w:gridCol w:w="1152"/>
        <w:gridCol w:w="1080"/>
        <w:gridCol w:w="1152"/>
        <w:gridCol w:w="1224"/>
        <w:gridCol w:w="1080"/>
      </w:tblGrid>
      <w:tr>
        <w:trPr>
          <w:cantSplit/>
          <w:tblHeader/>
        </w:trPr>
        <w:tc>
          <w:tcPr>
            <w:tcW w:type="dxa" w:w="1800"/>
            <w:vAlign w:val="center"/>
            <w:shd w:fill="F2F2F2"/>
          </w:tcPr>
          <w:p>
            <w:pPr>
              <w:spacing w:after="0" w:before="0" w:line="240" w:lineRule="auto"/>
            </w:pPr>
            <w:r>
              <w:rPr>
                <w:b/>
                <w:color w:val="000000"/>
                <w:sz w:val="21"/>
              </w:rPr>
              <w:t>Portfolio</w:t>
            </w:r>
          </w:p>
        </w:tc>
        <w:tc>
          <w:tcPr>
            <w:tcW w:type="dxa" w:w="720"/>
            <w:vAlign w:val="center"/>
            <w:shd w:fill="F2F2F2"/>
          </w:tcPr>
          <w:p>
            <w:pPr>
              <w:spacing w:after="0" w:before="0" w:line="240" w:lineRule="auto"/>
            </w:pPr>
            <w:r>
              <w:rPr>
                <w:b/>
                <w:color w:val="000000"/>
                <w:sz w:val="21"/>
              </w:rPr>
              <w:t>Slip bp</w:t>
            </w:r>
          </w:p>
        </w:tc>
        <w:tc>
          <w:tcPr>
            <w:tcW w:type="dxa" w:w="1152"/>
            <w:vAlign w:val="center"/>
            <w:shd w:fill="F2F2F2"/>
          </w:tcPr>
          <w:p>
            <w:pPr>
              <w:spacing w:after="0" w:before="0" w:line="240" w:lineRule="auto"/>
            </w:pPr>
            <w:r>
              <w:rPr>
                <w:b/>
                <w:color w:val="000000"/>
                <w:sz w:val="21"/>
              </w:rPr>
              <w:t>CAGR</w:t>
            </w:r>
          </w:p>
        </w:tc>
        <w:tc>
          <w:tcPr>
            <w:tcW w:type="dxa" w:w="1152"/>
            <w:vAlign w:val="center"/>
            <w:shd w:fill="F2F2F2"/>
          </w:tcPr>
          <w:p>
            <w:pPr>
              <w:spacing w:after="0" w:before="0" w:line="240" w:lineRule="auto"/>
            </w:pPr>
            <w:r>
              <w:rPr>
                <w:b/>
                <w:color w:val="000000"/>
                <w:sz w:val="21"/>
              </w:rPr>
              <w:t>Vol</w:t>
            </w:r>
          </w:p>
        </w:tc>
        <w:tc>
          <w:tcPr>
            <w:tcW w:type="dxa" w:w="1080"/>
            <w:vAlign w:val="center"/>
            <w:shd w:fill="F2F2F2"/>
          </w:tcPr>
          <w:p>
            <w:pPr>
              <w:spacing w:after="0" w:before="0" w:line="240" w:lineRule="auto"/>
            </w:pPr>
            <w:r>
              <w:rPr>
                <w:b/>
                <w:color w:val="000000"/>
                <w:sz w:val="21"/>
              </w:rPr>
              <w:t>Sharpe</w:t>
            </w:r>
          </w:p>
        </w:tc>
        <w:tc>
          <w:tcPr>
            <w:tcW w:type="dxa" w:w="1152"/>
            <w:vAlign w:val="center"/>
            <w:shd w:fill="F2F2F2"/>
          </w:tcPr>
          <w:p>
            <w:pPr>
              <w:spacing w:after="0" w:before="0" w:line="240" w:lineRule="auto"/>
            </w:pPr>
            <w:r>
              <w:rPr>
                <w:b/>
                <w:color w:val="000000"/>
                <w:sz w:val="21"/>
              </w:rPr>
              <w:t>Max DD</w:t>
            </w:r>
          </w:p>
        </w:tc>
        <w:tc>
          <w:tcPr>
            <w:tcW w:type="dxa" w:w="1224"/>
            <w:vAlign w:val="center"/>
            <w:shd w:fill="F2F2F2"/>
          </w:tcPr>
          <w:p>
            <w:pPr>
              <w:spacing w:after="0" w:before="0" w:line="240" w:lineRule="auto"/>
            </w:pPr>
            <w:r>
              <w:rPr>
                <w:b/>
                <w:color w:val="000000"/>
                <w:sz w:val="21"/>
              </w:rPr>
              <w:t>Alpha</w:t>
            </w:r>
          </w:p>
        </w:tc>
        <w:tc>
          <w:tcPr>
            <w:tcW w:type="dxa" w:w="1080"/>
            <w:vAlign w:val="center"/>
            <w:shd w:fill="F2F2F2"/>
          </w:tcPr>
          <w:p>
            <w:pPr>
              <w:spacing w:after="0" w:before="0" w:line="240" w:lineRule="auto"/>
            </w:pPr>
            <w:r>
              <w:rPr>
                <w:b/>
                <w:color w:val="000000"/>
                <w:sz w:val="21"/>
              </w:rPr>
              <w:t>Beta</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7.02%</w:t>
            </w:r>
          </w:p>
        </w:tc>
        <w:tc>
          <w:tcPr>
            <w:tcW w:type="dxa" w:w="1152"/>
            <w:vAlign w:val="center"/>
          </w:tcPr>
          <w:p>
            <w:pPr>
              <w:spacing w:after="0" w:before="0" w:line="240" w:lineRule="auto"/>
            </w:pPr>
            <w:r>
              <w:rPr>
                <w:b w:val="0"/>
                <w:color w:val="000000"/>
                <w:sz w:val="21"/>
              </w:rPr>
              <w:t>11.30%</w:t>
            </w:r>
          </w:p>
        </w:tc>
        <w:tc>
          <w:tcPr>
            <w:tcW w:type="dxa" w:w="1080"/>
            <w:vAlign w:val="center"/>
          </w:tcPr>
          <w:p>
            <w:pPr>
              <w:spacing w:after="0" w:before="0" w:line="240" w:lineRule="auto"/>
            </w:pPr>
            <w:r>
              <w:rPr>
                <w:b w:val="0"/>
                <w:color w:val="000000"/>
                <w:sz w:val="21"/>
              </w:rPr>
              <w:t>0.391</w:t>
            </w:r>
          </w:p>
        </w:tc>
        <w:tc>
          <w:tcPr>
            <w:tcW w:type="dxa" w:w="1152"/>
            <w:vAlign w:val="center"/>
          </w:tcPr>
          <w:p>
            <w:pPr>
              <w:spacing w:after="0" w:before="0" w:line="240" w:lineRule="auto"/>
            </w:pPr>
            <w:r>
              <w:rPr>
                <w:b w:val="0"/>
                <w:color w:val="000000"/>
                <w:sz w:val="21"/>
              </w:rPr>
              <w:t>-17.50%</w:t>
            </w:r>
          </w:p>
        </w:tc>
        <w:tc>
          <w:tcPr>
            <w:tcW w:type="dxa" w:w="1224"/>
            <w:vAlign w:val="center"/>
          </w:tcPr>
          <w:p>
            <w:pPr>
              <w:spacing w:after="0" w:before="0" w:line="240" w:lineRule="auto"/>
            </w:pPr>
            <w:r>
              <w:rPr>
                <w:b w:val="0"/>
                <w:color w:val="000000"/>
                <w:sz w:val="21"/>
              </w:rPr>
              <w:t>2.76%</w:t>
            </w:r>
          </w:p>
        </w:tc>
        <w:tc>
          <w:tcPr>
            <w:tcW w:type="dxa" w:w="1080"/>
            <w:vAlign w:val="center"/>
          </w:tcPr>
          <w:p>
            <w:pPr>
              <w:spacing w:after="0" w:before="0" w:line="240" w:lineRule="auto"/>
            </w:pPr>
            <w:r>
              <w:rPr>
                <w:b w:val="0"/>
                <w:color w:val="000000"/>
                <w:sz w:val="21"/>
              </w:rPr>
              <w:t>0.180</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6.90%</w:t>
            </w:r>
          </w:p>
        </w:tc>
        <w:tc>
          <w:tcPr>
            <w:tcW w:type="dxa" w:w="1152"/>
            <w:vAlign w:val="center"/>
          </w:tcPr>
          <w:p>
            <w:pPr>
              <w:spacing w:after="0" w:before="0" w:line="240" w:lineRule="auto"/>
            </w:pPr>
            <w:r>
              <w:rPr>
                <w:b w:val="0"/>
                <w:color w:val="000000"/>
                <w:sz w:val="21"/>
              </w:rPr>
              <w:t>11.30%</w:t>
            </w:r>
          </w:p>
        </w:tc>
        <w:tc>
          <w:tcPr>
            <w:tcW w:type="dxa" w:w="1080"/>
            <w:vAlign w:val="center"/>
          </w:tcPr>
          <w:p>
            <w:pPr>
              <w:spacing w:after="0" w:before="0" w:line="240" w:lineRule="auto"/>
            </w:pPr>
            <w:r>
              <w:rPr>
                <w:b w:val="0"/>
                <w:color w:val="000000"/>
                <w:sz w:val="21"/>
              </w:rPr>
              <w:t>0.381</w:t>
            </w:r>
          </w:p>
        </w:tc>
        <w:tc>
          <w:tcPr>
            <w:tcW w:type="dxa" w:w="1152"/>
            <w:vAlign w:val="center"/>
          </w:tcPr>
          <w:p>
            <w:pPr>
              <w:spacing w:after="0" w:before="0" w:line="240" w:lineRule="auto"/>
            </w:pPr>
            <w:r>
              <w:rPr>
                <w:b w:val="0"/>
                <w:color w:val="000000"/>
                <w:sz w:val="21"/>
              </w:rPr>
              <w:t>-17.52%</w:t>
            </w:r>
          </w:p>
        </w:tc>
        <w:tc>
          <w:tcPr>
            <w:tcW w:type="dxa" w:w="1224"/>
            <w:vAlign w:val="center"/>
          </w:tcPr>
          <w:p>
            <w:pPr>
              <w:spacing w:after="0" w:before="0" w:line="240" w:lineRule="auto"/>
            </w:pPr>
            <w:r>
              <w:rPr>
                <w:b w:val="0"/>
                <w:color w:val="000000"/>
                <w:sz w:val="21"/>
              </w:rPr>
              <w:t>2.65%</w:t>
            </w:r>
          </w:p>
        </w:tc>
        <w:tc>
          <w:tcPr>
            <w:tcW w:type="dxa" w:w="1080"/>
            <w:vAlign w:val="center"/>
          </w:tcPr>
          <w:p>
            <w:pPr>
              <w:spacing w:after="0" w:before="0" w:line="240" w:lineRule="auto"/>
            </w:pPr>
            <w:r>
              <w:rPr>
                <w:b w:val="0"/>
                <w:color w:val="000000"/>
                <w:sz w:val="21"/>
              </w:rPr>
              <w:t>0.179</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6.48%</w:t>
            </w:r>
          </w:p>
        </w:tc>
        <w:tc>
          <w:tcPr>
            <w:tcW w:type="dxa" w:w="1152"/>
            <w:vAlign w:val="center"/>
          </w:tcPr>
          <w:p>
            <w:pPr>
              <w:spacing w:after="0" w:before="0" w:line="240" w:lineRule="auto"/>
            </w:pPr>
            <w:r>
              <w:rPr>
                <w:b w:val="0"/>
                <w:color w:val="000000"/>
                <w:sz w:val="21"/>
              </w:rPr>
              <w:t>11.30%</w:t>
            </w:r>
          </w:p>
        </w:tc>
        <w:tc>
          <w:tcPr>
            <w:tcW w:type="dxa" w:w="1080"/>
            <w:vAlign w:val="center"/>
          </w:tcPr>
          <w:p>
            <w:pPr>
              <w:spacing w:after="0" w:before="0" w:line="240" w:lineRule="auto"/>
            </w:pPr>
            <w:r>
              <w:rPr>
                <w:b w:val="0"/>
                <w:color w:val="000000"/>
                <w:sz w:val="21"/>
              </w:rPr>
              <w:t>0.346</w:t>
            </w:r>
          </w:p>
        </w:tc>
        <w:tc>
          <w:tcPr>
            <w:tcW w:type="dxa" w:w="1152"/>
            <w:vAlign w:val="center"/>
          </w:tcPr>
          <w:p>
            <w:pPr>
              <w:spacing w:after="0" w:before="0" w:line="240" w:lineRule="auto"/>
            </w:pPr>
            <w:r>
              <w:rPr>
                <w:b w:val="0"/>
                <w:color w:val="000000"/>
                <w:sz w:val="21"/>
              </w:rPr>
              <w:t>-17.59%</w:t>
            </w:r>
          </w:p>
        </w:tc>
        <w:tc>
          <w:tcPr>
            <w:tcW w:type="dxa" w:w="1224"/>
            <w:vAlign w:val="center"/>
          </w:tcPr>
          <w:p>
            <w:pPr>
              <w:spacing w:after="0" w:before="0" w:line="240" w:lineRule="auto"/>
            </w:pPr>
            <w:r>
              <w:rPr>
                <w:b w:val="0"/>
                <w:color w:val="000000"/>
                <w:sz w:val="21"/>
              </w:rPr>
              <w:t>2.27%</w:t>
            </w:r>
          </w:p>
        </w:tc>
        <w:tc>
          <w:tcPr>
            <w:tcW w:type="dxa" w:w="1080"/>
            <w:vAlign w:val="center"/>
          </w:tcPr>
          <w:p>
            <w:pPr>
              <w:spacing w:after="0" w:before="0" w:line="240" w:lineRule="auto"/>
            </w:pPr>
            <w:r>
              <w:rPr>
                <w:b w:val="0"/>
                <w:color w:val="000000"/>
                <w:sz w:val="21"/>
              </w:rPr>
              <w:t>0.179</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5.59%</w:t>
            </w:r>
          </w:p>
        </w:tc>
        <w:tc>
          <w:tcPr>
            <w:tcW w:type="dxa" w:w="1152"/>
            <w:vAlign w:val="center"/>
          </w:tcPr>
          <w:p>
            <w:pPr>
              <w:spacing w:after="0" w:before="0" w:line="240" w:lineRule="auto"/>
            </w:pPr>
            <w:r>
              <w:rPr>
                <w:b w:val="0"/>
                <w:color w:val="000000"/>
                <w:sz w:val="21"/>
              </w:rPr>
              <w:t>11.31%</w:t>
            </w:r>
          </w:p>
        </w:tc>
        <w:tc>
          <w:tcPr>
            <w:tcW w:type="dxa" w:w="1080"/>
            <w:vAlign w:val="center"/>
          </w:tcPr>
          <w:p>
            <w:pPr>
              <w:spacing w:after="0" w:before="0" w:line="240" w:lineRule="auto"/>
            </w:pPr>
            <w:r>
              <w:rPr>
                <w:b w:val="0"/>
                <w:color w:val="000000"/>
                <w:sz w:val="21"/>
              </w:rPr>
              <w:t>0.272</w:t>
            </w:r>
          </w:p>
        </w:tc>
        <w:tc>
          <w:tcPr>
            <w:tcW w:type="dxa" w:w="1152"/>
            <w:vAlign w:val="center"/>
          </w:tcPr>
          <w:p>
            <w:pPr>
              <w:spacing w:after="0" w:before="0" w:line="240" w:lineRule="auto"/>
            </w:pPr>
            <w:r>
              <w:rPr>
                <w:b w:val="0"/>
                <w:color w:val="000000"/>
                <w:sz w:val="21"/>
              </w:rPr>
              <w:t>-17.73%</w:t>
            </w:r>
          </w:p>
        </w:tc>
        <w:tc>
          <w:tcPr>
            <w:tcW w:type="dxa" w:w="1224"/>
            <w:vAlign w:val="center"/>
          </w:tcPr>
          <w:p>
            <w:pPr>
              <w:spacing w:after="0" w:before="0" w:line="240" w:lineRule="auto"/>
            </w:pPr>
            <w:r>
              <w:rPr>
                <w:b w:val="0"/>
                <w:color w:val="000000"/>
                <w:sz w:val="21"/>
              </w:rPr>
              <w:t>1.46%</w:t>
            </w:r>
          </w:p>
        </w:tc>
        <w:tc>
          <w:tcPr>
            <w:tcW w:type="dxa" w:w="1080"/>
            <w:vAlign w:val="center"/>
          </w:tcPr>
          <w:p>
            <w:pPr>
              <w:spacing w:after="0" w:before="0" w:line="240" w:lineRule="auto"/>
            </w:pPr>
            <w:r>
              <w:rPr>
                <w:b w:val="0"/>
                <w:color w:val="000000"/>
                <w:sz w:val="21"/>
              </w:rPr>
              <w:t>0.179</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7.90%</w:t>
            </w:r>
          </w:p>
        </w:tc>
        <w:tc>
          <w:tcPr>
            <w:tcW w:type="dxa" w:w="1152"/>
            <w:vAlign w:val="center"/>
          </w:tcPr>
          <w:p>
            <w:pPr>
              <w:spacing w:after="0" w:before="0" w:line="240" w:lineRule="auto"/>
            </w:pPr>
            <w:r>
              <w:rPr>
                <w:b w:val="0"/>
                <w:color w:val="000000"/>
                <w:sz w:val="21"/>
              </w:rPr>
              <w:t>12.55%</w:t>
            </w:r>
          </w:p>
        </w:tc>
        <w:tc>
          <w:tcPr>
            <w:tcW w:type="dxa" w:w="1080"/>
            <w:vAlign w:val="center"/>
          </w:tcPr>
          <w:p>
            <w:pPr>
              <w:spacing w:after="0" w:before="0" w:line="240" w:lineRule="auto"/>
            </w:pPr>
            <w:r>
              <w:rPr>
                <w:b w:val="0"/>
                <w:color w:val="000000"/>
                <w:sz w:val="21"/>
              </w:rPr>
              <w:t>0.429</w:t>
            </w:r>
          </w:p>
        </w:tc>
        <w:tc>
          <w:tcPr>
            <w:tcW w:type="dxa" w:w="1152"/>
            <w:vAlign w:val="center"/>
          </w:tcPr>
          <w:p>
            <w:pPr>
              <w:spacing w:after="0" w:before="0" w:line="240" w:lineRule="auto"/>
            </w:pPr>
            <w:r>
              <w:rPr>
                <w:b w:val="0"/>
                <w:color w:val="000000"/>
                <w:sz w:val="21"/>
              </w:rPr>
              <w:t>-19.22%</w:t>
            </w:r>
          </w:p>
        </w:tc>
        <w:tc>
          <w:tcPr>
            <w:tcW w:type="dxa" w:w="1224"/>
            <w:vAlign w:val="center"/>
          </w:tcPr>
          <w:p>
            <w:pPr>
              <w:spacing w:after="0" w:before="0" w:line="240" w:lineRule="auto"/>
            </w:pPr>
            <w:r>
              <w:rPr>
                <w:b w:val="0"/>
                <w:color w:val="000000"/>
                <w:sz w:val="21"/>
              </w:rPr>
              <w:t>3.56%</w:t>
            </w:r>
          </w:p>
        </w:tc>
        <w:tc>
          <w:tcPr>
            <w:tcW w:type="dxa" w:w="1080"/>
            <w:vAlign w:val="center"/>
          </w:tcPr>
          <w:p>
            <w:pPr>
              <w:spacing w:after="0" w:before="0" w:line="240" w:lineRule="auto"/>
            </w:pPr>
            <w:r>
              <w:rPr>
                <w:b w:val="0"/>
                <w:color w:val="000000"/>
                <w:sz w:val="21"/>
              </w:rPr>
              <w:t>0.198</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7.77%</w:t>
            </w:r>
          </w:p>
        </w:tc>
        <w:tc>
          <w:tcPr>
            <w:tcW w:type="dxa" w:w="1152"/>
            <w:vAlign w:val="center"/>
          </w:tcPr>
          <w:p>
            <w:pPr>
              <w:spacing w:after="0" w:before="0" w:line="240" w:lineRule="auto"/>
            </w:pPr>
            <w:r>
              <w:rPr>
                <w:b w:val="0"/>
                <w:color w:val="000000"/>
                <w:sz w:val="21"/>
              </w:rPr>
              <w:t>12.55%</w:t>
            </w:r>
          </w:p>
        </w:tc>
        <w:tc>
          <w:tcPr>
            <w:tcW w:type="dxa" w:w="1080"/>
            <w:vAlign w:val="center"/>
          </w:tcPr>
          <w:p>
            <w:pPr>
              <w:spacing w:after="0" w:before="0" w:line="240" w:lineRule="auto"/>
            </w:pPr>
            <w:r>
              <w:rPr>
                <w:b w:val="0"/>
                <w:color w:val="000000"/>
                <w:sz w:val="21"/>
              </w:rPr>
              <w:t>0.419</w:t>
            </w:r>
          </w:p>
        </w:tc>
        <w:tc>
          <w:tcPr>
            <w:tcW w:type="dxa" w:w="1152"/>
            <w:vAlign w:val="center"/>
          </w:tcPr>
          <w:p>
            <w:pPr>
              <w:spacing w:after="0" w:before="0" w:line="240" w:lineRule="auto"/>
            </w:pPr>
            <w:r>
              <w:rPr>
                <w:b w:val="0"/>
                <w:color w:val="000000"/>
                <w:sz w:val="21"/>
              </w:rPr>
              <w:t>-19.24%</w:t>
            </w:r>
          </w:p>
        </w:tc>
        <w:tc>
          <w:tcPr>
            <w:tcW w:type="dxa" w:w="1224"/>
            <w:vAlign w:val="center"/>
          </w:tcPr>
          <w:p>
            <w:pPr>
              <w:spacing w:after="0" w:before="0" w:line="240" w:lineRule="auto"/>
            </w:pPr>
            <w:r>
              <w:rPr>
                <w:b w:val="0"/>
                <w:color w:val="000000"/>
                <w:sz w:val="21"/>
              </w:rPr>
              <w:t>3.44%</w:t>
            </w:r>
          </w:p>
        </w:tc>
        <w:tc>
          <w:tcPr>
            <w:tcW w:type="dxa" w:w="1080"/>
            <w:vAlign w:val="center"/>
          </w:tcPr>
          <w:p>
            <w:pPr>
              <w:spacing w:after="0" w:before="0" w:line="240" w:lineRule="auto"/>
            </w:pPr>
            <w:r>
              <w:rPr>
                <w:b w:val="0"/>
                <w:color w:val="000000"/>
                <w:sz w:val="21"/>
              </w:rPr>
              <w:t>0.197</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7.30%</w:t>
            </w:r>
          </w:p>
        </w:tc>
        <w:tc>
          <w:tcPr>
            <w:tcW w:type="dxa" w:w="1152"/>
            <w:vAlign w:val="center"/>
          </w:tcPr>
          <w:p>
            <w:pPr>
              <w:spacing w:after="0" w:before="0" w:line="240" w:lineRule="auto"/>
            </w:pPr>
            <w:r>
              <w:rPr>
                <w:b w:val="0"/>
                <w:color w:val="000000"/>
                <w:sz w:val="21"/>
              </w:rPr>
              <w:t>12.56%</w:t>
            </w:r>
          </w:p>
        </w:tc>
        <w:tc>
          <w:tcPr>
            <w:tcW w:type="dxa" w:w="1080"/>
            <w:vAlign w:val="center"/>
          </w:tcPr>
          <w:p>
            <w:pPr>
              <w:spacing w:after="0" w:before="0" w:line="240" w:lineRule="auto"/>
            </w:pPr>
            <w:r>
              <w:rPr>
                <w:b w:val="0"/>
                <w:color w:val="000000"/>
                <w:sz w:val="21"/>
              </w:rPr>
              <w:t>0.385</w:t>
            </w:r>
          </w:p>
        </w:tc>
        <w:tc>
          <w:tcPr>
            <w:tcW w:type="dxa" w:w="1152"/>
            <w:vAlign w:val="center"/>
          </w:tcPr>
          <w:p>
            <w:pPr>
              <w:spacing w:after="0" w:before="0" w:line="240" w:lineRule="auto"/>
            </w:pPr>
            <w:r>
              <w:rPr>
                <w:b w:val="0"/>
                <w:color w:val="000000"/>
                <w:sz w:val="21"/>
              </w:rPr>
              <w:t>-19.33%</w:t>
            </w:r>
          </w:p>
        </w:tc>
        <w:tc>
          <w:tcPr>
            <w:tcW w:type="dxa" w:w="1224"/>
            <w:vAlign w:val="center"/>
          </w:tcPr>
          <w:p>
            <w:pPr>
              <w:spacing w:after="0" w:before="0" w:line="240" w:lineRule="auto"/>
            </w:pPr>
            <w:r>
              <w:rPr>
                <w:b w:val="0"/>
                <w:color w:val="000000"/>
                <w:sz w:val="21"/>
              </w:rPr>
              <w:t>3.02%</w:t>
            </w:r>
          </w:p>
        </w:tc>
        <w:tc>
          <w:tcPr>
            <w:tcW w:type="dxa" w:w="1080"/>
            <w:vAlign w:val="center"/>
          </w:tcPr>
          <w:p>
            <w:pPr>
              <w:spacing w:after="0" w:before="0" w:line="240" w:lineRule="auto"/>
            </w:pPr>
            <w:r>
              <w:rPr>
                <w:b w:val="0"/>
                <w:color w:val="000000"/>
                <w:sz w:val="21"/>
              </w:rPr>
              <w:t>0.197</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6.32%</w:t>
            </w:r>
          </w:p>
        </w:tc>
        <w:tc>
          <w:tcPr>
            <w:tcW w:type="dxa" w:w="1152"/>
            <w:vAlign w:val="center"/>
          </w:tcPr>
          <w:p>
            <w:pPr>
              <w:spacing w:after="0" w:before="0" w:line="240" w:lineRule="auto"/>
            </w:pPr>
            <w:r>
              <w:rPr>
                <w:b w:val="0"/>
                <w:color w:val="000000"/>
                <w:sz w:val="21"/>
              </w:rPr>
              <w:t>12.58%</w:t>
            </w:r>
          </w:p>
        </w:tc>
        <w:tc>
          <w:tcPr>
            <w:tcW w:type="dxa" w:w="1080"/>
            <w:vAlign w:val="center"/>
          </w:tcPr>
          <w:p>
            <w:pPr>
              <w:spacing w:after="0" w:before="0" w:line="240" w:lineRule="auto"/>
            </w:pPr>
            <w:r>
              <w:rPr>
                <w:b w:val="0"/>
                <w:color w:val="000000"/>
                <w:sz w:val="21"/>
              </w:rPr>
              <w:t>0.311</w:t>
            </w:r>
          </w:p>
        </w:tc>
        <w:tc>
          <w:tcPr>
            <w:tcW w:type="dxa" w:w="1152"/>
            <w:vAlign w:val="center"/>
          </w:tcPr>
          <w:p>
            <w:pPr>
              <w:spacing w:after="0" w:before="0" w:line="240" w:lineRule="auto"/>
            </w:pPr>
            <w:r>
              <w:rPr>
                <w:b w:val="0"/>
                <w:color w:val="000000"/>
                <w:sz w:val="21"/>
              </w:rPr>
              <w:t>-19.52%</w:t>
            </w:r>
          </w:p>
        </w:tc>
        <w:tc>
          <w:tcPr>
            <w:tcW w:type="dxa" w:w="1224"/>
            <w:vAlign w:val="center"/>
          </w:tcPr>
          <w:p>
            <w:pPr>
              <w:spacing w:after="0" w:before="0" w:line="240" w:lineRule="auto"/>
            </w:pPr>
            <w:r>
              <w:rPr>
                <w:b w:val="0"/>
                <w:color w:val="000000"/>
                <w:sz w:val="21"/>
              </w:rPr>
              <w:t>2.13%</w:t>
            </w:r>
          </w:p>
        </w:tc>
        <w:tc>
          <w:tcPr>
            <w:tcW w:type="dxa" w:w="1080"/>
            <w:vAlign w:val="center"/>
          </w:tcPr>
          <w:p>
            <w:pPr>
              <w:spacing w:after="0" w:before="0" w:line="240" w:lineRule="auto"/>
            </w:pPr>
            <w:r>
              <w:rPr>
                <w:b w:val="0"/>
                <w:color w:val="000000"/>
                <w:sz w:val="21"/>
              </w:rPr>
              <w:t>0.197</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1.88%</w:t>
            </w:r>
          </w:p>
        </w:tc>
        <w:tc>
          <w:tcPr>
            <w:tcW w:type="dxa" w:w="1152"/>
            <w:vAlign w:val="center"/>
          </w:tcPr>
          <w:p>
            <w:pPr>
              <w:spacing w:after="0" w:before="0" w:line="240" w:lineRule="auto"/>
            </w:pPr>
            <w:r>
              <w:rPr>
                <w:b w:val="0"/>
                <w:color w:val="000000"/>
                <w:sz w:val="21"/>
              </w:rPr>
              <w:t>4.49%</w:t>
            </w:r>
          </w:p>
        </w:tc>
        <w:tc>
          <w:tcPr>
            <w:tcW w:type="dxa" w:w="1080"/>
            <w:vAlign w:val="center"/>
          </w:tcPr>
          <w:p>
            <w:pPr>
              <w:spacing w:after="0" w:before="0" w:line="240" w:lineRule="auto"/>
            </w:pPr>
            <w:r>
              <w:rPr>
                <w:b w:val="0"/>
                <w:color w:val="000000"/>
                <w:sz w:val="21"/>
              </w:rPr>
              <w:t>-0.231</w:t>
            </w:r>
          </w:p>
        </w:tc>
        <w:tc>
          <w:tcPr>
            <w:tcW w:type="dxa" w:w="1152"/>
            <w:vAlign w:val="center"/>
          </w:tcPr>
          <w:p>
            <w:pPr>
              <w:spacing w:after="0" w:before="0" w:line="240" w:lineRule="auto"/>
            </w:pPr>
            <w:r>
              <w:rPr>
                <w:b w:val="0"/>
                <w:color w:val="000000"/>
                <w:sz w:val="21"/>
              </w:rPr>
              <w:t>-9.66%</w:t>
            </w:r>
          </w:p>
        </w:tc>
        <w:tc>
          <w:tcPr>
            <w:tcW w:type="dxa" w:w="1224"/>
            <w:vAlign w:val="center"/>
          </w:tcPr>
          <w:p>
            <w:pPr>
              <w:spacing w:after="0" w:before="0" w:line="240" w:lineRule="auto"/>
            </w:pPr>
            <w:r>
              <w:rPr>
                <w:b w:val="0"/>
                <w:color w:val="000000"/>
                <w:sz w:val="21"/>
              </w:rPr>
              <w:t>-1.63%</w:t>
            </w:r>
          </w:p>
        </w:tc>
        <w:tc>
          <w:tcPr>
            <w:tcW w:type="dxa" w:w="1080"/>
            <w:vAlign w:val="center"/>
          </w:tcPr>
          <w:p>
            <w:pPr>
              <w:spacing w:after="0" w:before="0" w:line="240" w:lineRule="auto"/>
            </w:pPr>
            <w:r>
              <w:rPr>
                <w:b w:val="0"/>
                <w:color w:val="000000"/>
                <w:sz w:val="21"/>
              </w:rPr>
              <w:t>0.064</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1.82%</w:t>
            </w:r>
          </w:p>
        </w:tc>
        <w:tc>
          <w:tcPr>
            <w:tcW w:type="dxa" w:w="1152"/>
            <w:vAlign w:val="center"/>
          </w:tcPr>
          <w:p>
            <w:pPr>
              <w:spacing w:after="0" w:before="0" w:line="240" w:lineRule="auto"/>
            </w:pPr>
            <w:r>
              <w:rPr>
                <w:b w:val="0"/>
                <w:color w:val="000000"/>
                <w:sz w:val="21"/>
              </w:rPr>
              <w:t>4.49%</w:t>
            </w:r>
          </w:p>
        </w:tc>
        <w:tc>
          <w:tcPr>
            <w:tcW w:type="dxa" w:w="1080"/>
            <w:vAlign w:val="center"/>
          </w:tcPr>
          <w:p>
            <w:pPr>
              <w:spacing w:after="0" w:before="0" w:line="240" w:lineRule="auto"/>
            </w:pPr>
            <w:r>
              <w:rPr>
                <w:b w:val="0"/>
                <w:color w:val="000000"/>
                <w:sz w:val="21"/>
              </w:rPr>
              <w:t>-0.243</w:t>
            </w:r>
          </w:p>
        </w:tc>
        <w:tc>
          <w:tcPr>
            <w:tcW w:type="dxa" w:w="1152"/>
            <w:vAlign w:val="center"/>
          </w:tcPr>
          <w:p>
            <w:pPr>
              <w:spacing w:after="0" w:before="0" w:line="240" w:lineRule="auto"/>
            </w:pPr>
            <w:r>
              <w:rPr>
                <w:b w:val="0"/>
                <w:color w:val="000000"/>
                <w:sz w:val="21"/>
              </w:rPr>
              <w:t>-9.70%</w:t>
            </w:r>
          </w:p>
        </w:tc>
        <w:tc>
          <w:tcPr>
            <w:tcW w:type="dxa" w:w="1224"/>
            <w:vAlign w:val="center"/>
          </w:tcPr>
          <w:p>
            <w:pPr>
              <w:spacing w:after="0" w:before="0" w:line="240" w:lineRule="auto"/>
            </w:pPr>
            <w:r>
              <w:rPr>
                <w:b w:val="0"/>
                <w:color w:val="000000"/>
                <w:sz w:val="21"/>
              </w:rPr>
              <w:t>-1.69%</w:t>
            </w:r>
          </w:p>
        </w:tc>
        <w:tc>
          <w:tcPr>
            <w:tcW w:type="dxa" w:w="1080"/>
            <w:vAlign w:val="center"/>
          </w:tcPr>
          <w:p>
            <w:pPr>
              <w:spacing w:after="0" w:before="0" w:line="240" w:lineRule="auto"/>
            </w:pPr>
            <w:r>
              <w:rPr>
                <w:b w:val="0"/>
                <w:color w:val="000000"/>
                <w:sz w:val="21"/>
              </w:rPr>
              <w:t>0.064</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1.63%</w:t>
            </w:r>
          </w:p>
        </w:tc>
        <w:tc>
          <w:tcPr>
            <w:tcW w:type="dxa" w:w="1152"/>
            <w:vAlign w:val="center"/>
          </w:tcPr>
          <w:p>
            <w:pPr>
              <w:spacing w:after="0" w:before="0" w:line="240" w:lineRule="auto"/>
            </w:pPr>
            <w:r>
              <w:rPr>
                <w:b w:val="0"/>
                <w:color w:val="000000"/>
                <w:sz w:val="21"/>
              </w:rPr>
              <w:t>4.48%</w:t>
            </w:r>
          </w:p>
        </w:tc>
        <w:tc>
          <w:tcPr>
            <w:tcW w:type="dxa" w:w="1080"/>
            <w:vAlign w:val="center"/>
          </w:tcPr>
          <w:p>
            <w:pPr>
              <w:spacing w:after="0" w:before="0" w:line="240" w:lineRule="auto"/>
            </w:pPr>
            <w:r>
              <w:rPr>
                <w:b w:val="0"/>
                <w:color w:val="000000"/>
                <w:sz w:val="21"/>
              </w:rPr>
              <w:t>-0.285</w:t>
            </w:r>
          </w:p>
        </w:tc>
        <w:tc>
          <w:tcPr>
            <w:tcW w:type="dxa" w:w="1152"/>
            <w:vAlign w:val="center"/>
          </w:tcPr>
          <w:p>
            <w:pPr>
              <w:spacing w:after="0" w:before="0" w:line="240" w:lineRule="auto"/>
            </w:pPr>
            <w:r>
              <w:rPr>
                <w:b w:val="0"/>
                <w:color w:val="000000"/>
                <w:sz w:val="21"/>
              </w:rPr>
              <w:t>-9.85%</w:t>
            </w:r>
          </w:p>
        </w:tc>
        <w:tc>
          <w:tcPr>
            <w:tcW w:type="dxa" w:w="1224"/>
            <w:vAlign w:val="center"/>
          </w:tcPr>
          <w:p>
            <w:pPr>
              <w:spacing w:after="0" w:before="0" w:line="240" w:lineRule="auto"/>
            </w:pPr>
            <w:r>
              <w:rPr>
                <w:b w:val="0"/>
                <w:color w:val="000000"/>
                <w:sz w:val="21"/>
              </w:rPr>
              <w:t>-1.87%</w:t>
            </w:r>
          </w:p>
        </w:tc>
        <w:tc>
          <w:tcPr>
            <w:tcW w:type="dxa" w:w="1080"/>
            <w:vAlign w:val="center"/>
          </w:tcPr>
          <w:p>
            <w:pPr>
              <w:spacing w:after="0" w:before="0" w:line="240" w:lineRule="auto"/>
            </w:pPr>
            <w:r>
              <w:rPr>
                <w:b w:val="0"/>
                <w:color w:val="000000"/>
                <w:sz w:val="21"/>
              </w:rPr>
              <w:t>0.064</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1.23%</w:t>
            </w:r>
          </w:p>
        </w:tc>
        <w:tc>
          <w:tcPr>
            <w:tcW w:type="dxa" w:w="1152"/>
            <w:vAlign w:val="center"/>
          </w:tcPr>
          <w:p>
            <w:pPr>
              <w:spacing w:after="0" w:before="0" w:line="240" w:lineRule="auto"/>
            </w:pPr>
            <w:r>
              <w:rPr>
                <w:b w:val="0"/>
                <w:color w:val="000000"/>
                <w:sz w:val="21"/>
              </w:rPr>
              <w:t>4.47%</w:t>
            </w:r>
          </w:p>
        </w:tc>
        <w:tc>
          <w:tcPr>
            <w:tcW w:type="dxa" w:w="1080"/>
            <w:vAlign w:val="center"/>
          </w:tcPr>
          <w:p>
            <w:pPr>
              <w:spacing w:after="0" w:before="0" w:line="240" w:lineRule="auto"/>
            </w:pPr>
            <w:r>
              <w:rPr>
                <w:b w:val="0"/>
                <w:color w:val="000000"/>
                <w:sz w:val="21"/>
              </w:rPr>
              <w:t>-0.375</w:t>
            </w:r>
          </w:p>
        </w:tc>
        <w:tc>
          <w:tcPr>
            <w:tcW w:type="dxa" w:w="1152"/>
            <w:vAlign w:val="center"/>
          </w:tcPr>
          <w:p>
            <w:pPr>
              <w:spacing w:after="0" w:before="0" w:line="240" w:lineRule="auto"/>
            </w:pPr>
            <w:r>
              <w:rPr>
                <w:b w:val="0"/>
                <w:color w:val="000000"/>
                <w:sz w:val="21"/>
              </w:rPr>
              <w:t>-10.16%</w:t>
            </w:r>
          </w:p>
        </w:tc>
        <w:tc>
          <w:tcPr>
            <w:tcW w:type="dxa" w:w="1224"/>
            <w:vAlign w:val="center"/>
          </w:tcPr>
          <w:p>
            <w:pPr>
              <w:spacing w:after="0" w:before="0" w:line="240" w:lineRule="auto"/>
            </w:pPr>
            <w:r>
              <w:rPr>
                <w:b w:val="0"/>
                <w:color w:val="000000"/>
                <w:sz w:val="21"/>
              </w:rPr>
              <w:t>-2.26%</w:t>
            </w:r>
          </w:p>
        </w:tc>
        <w:tc>
          <w:tcPr>
            <w:tcW w:type="dxa" w:w="1080"/>
            <w:vAlign w:val="center"/>
          </w:tcPr>
          <w:p>
            <w:pPr>
              <w:spacing w:after="0" w:before="0" w:line="240" w:lineRule="auto"/>
            </w:pPr>
            <w:r>
              <w:rPr>
                <w:b w:val="0"/>
                <w:color w:val="000000"/>
                <w:sz w:val="21"/>
              </w:rPr>
              <w:t>0.064</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7.42%</w:t>
            </w:r>
          </w:p>
        </w:tc>
        <w:tc>
          <w:tcPr>
            <w:tcW w:type="dxa" w:w="1152"/>
            <w:vAlign w:val="center"/>
          </w:tcPr>
          <w:p>
            <w:pPr>
              <w:spacing w:after="0" w:before="0" w:line="240" w:lineRule="auto"/>
            </w:pPr>
            <w:r>
              <w:rPr>
                <w:b w:val="0"/>
                <w:color w:val="000000"/>
                <w:sz w:val="21"/>
              </w:rPr>
              <w:t>9.50%</w:t>
            </w:r>
          </w:p>
        </w:tc>
        <w:tc>
          <w:tcPr>
            <w:tcW w:type="dxa" w:w="1080"/>
            <w:vAlign w:val="center"/>
          </w:tcPr>
          <w:p>
            <w:pPr>
              <w:spacing w:after="0" w:before="0" w:line="240" w:lineRule="auto"/>
            </w:pPr>
            <w:r>
              <w:rPr>
                <w:b w:val="0"/>
                <w:color w:val="000000"/>
                <w:sz w:val="21"/>
              </w:rPr>
              <w:t>0.485</w:t>
            </w:r>
          </w:p>
        </w:tc>
        <w:tc>
          <w:tcPr>
            <w:tcW w:type="dxa" w:w="1152"/>
            <w:vAlign w:val="center"/>
          </w:tcPr>
          <w:p>
            <w:pPr>
              <w:spacing w:after="0" w:before="0" w:line="240" w:lineRule="auto"/>
            </w:pPr>
            <w:r>
              <w:rPr>
                <w:b w:val="0"/>
                <w:color w:val="000000"/>
                <w:sz w:val="21"/>
              </w:rPr>
              <w:t>-13.45%</w:t>
            </w:r>
          </w:p>
        </w:tc>
        <w:tc>
          <w:tcPr>
            <w:tcW w:type="dxa" w:w="1224"/>
            <w:vAlign w:val="center"/>
          </w:tcPr>
          <w:p>
            <w:pPr>
              <w:spacing w:after="0" w:before="0" w:line="240" w:lineRule="auto"/>
            </w:pPr>
            <w:r>
              <w:rPr>
                <w:b w:val="0"/>
                <w:color w:val="000000"/>
                <w:sz w:val="21"/>
              </w:rPr>
              <w:t>2.66%</w:t>
            </w:r>
          </w:p>
        </w:tc>
        <w:tc>
          <w:tcPr>
            <w:tcW w:type="dxa" w:w="1080"/>
            <w:vAlign w:val="center"/>
          </w:tcPr>
          <w:p>
            <w:pPr>
              <w:spacing w:after="0" w:before="0" w:line="240" w:lineRule="auto"/>
            </w:pPr>
            <w:r>
              <w:rPr>
                <w:b w:val="0"/>
                <w:color w:val="000000"/>
                <w:sz w:val="21"/>
              </w:rPr>
              <w:t>0.211</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7.30%</w:t>
            </w:r>
          </w:p>
        </w:tc>
        <w:tc>
          <w:tcPr>
            <w:tcW w:type="dxa" w:w="1152"/>
            <w:vAlign w:val="center"/>
          </w:tcPr>
          <w:p>
            <w:pPr>
              <w:spacing w:after="0" w:before="0" w:line="240" w:lineRule="auto"/>
            </w:pPr>
            <w:r>
              <w:rPr>
                <w:b w:val="0"/>
                <w:color w:val="000000"/>
                <w:sz w:val="21"/>
              </w:rPr>
              <w:t>9.50%</w:t>
            </w:r>
          </w:p>
        </w:tc>
        <w:tc>
          <w:tcPr>
            <w:tcW w:type="dxa" w:w="1080"/>
            <w:vAlign w:val="center"/>
          </w:tcPr>
          <w:p>
            <w:pPr>
              <w:spacing w:after="0" w:before="0" w:line="240" w:lineRule="auto"/>
            </w:pPr>
            <w:r>
              <w:rPr>
                <w:b w:val="0"/>
                <w:color w:val="000000"/>
                <w:sz w:val="21"/>
              </w:rPr>
              <w:t>0.473</w:t>
            </w:r>
          </w:p>
        </w:tc>
        <w:tc>
          <w:tcPr>
            <w:tcW w:type="dxa" w:w="1152"/>
            <w:vAlign w:val="center"/>
          </w:tcPr>
          <w:p>
            <w:pPr>
              <w:spacing w:after="0" w:before="0" w:line="240" w:lineRule="auto"/>
            </w:pPr>
            <w:r>
              <w:rPr>
                <w:b w:val="0"/>
                <w:color w:val="000000"/>
                <w:sz w:val="21"/>
              </w:rPr>
              <w:t>-13.48%</w:t>
            </w:r>
          </w:p>
        </w:tc>
        <w:tc>
          <w:tcPr>
            <w:tcW w:type="dxa" w:w="1224"/>
            <w:vAlign w:val="center"/>
          </w:tcPr>
          <w:p>
            <w:pPr>
              <w:spacing w:after="0" w:before="0" w:line="240" w:lineRule="auto"/>
            </w:pPr>
            <w:r>
              <w:rPr>
                <w:b w:val="0"/>
                <w:color w:val="000000"/>
                <w:sz w:val="21"/>
              </w:rPr>
              <w:t>2.55%</w:t>
            </w:r>
          </w:p>
        </w:tc>
        <w:tc>
          <w:tcPr>
            <w:tcW w:type="dxa" w:w="1080"/>
            <w:vAlign w:val="center"/>
          </w:tcPr>
          <w:p>
            <w:pPr>
              <w:spacing w:after="0" w:before="0" w:line="240" w:lineRule="auto"/>
            </w:pPr>
            <w:r>
              <w:rPr>
                <w:b w:val="0"/>
                <w:color w:val="000000"/>
                <w:sz w:val="21"/>
              </w:rPr>
              <w:t>0.211</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6.89%</w:t>
            </w:r>
          </w:p>
        </w:tc>
        <w:tc>
          <w:tcPr>
            <w:tcW w:type="dxa" w:w="1152"/>
            <w:vAlign w:val="center"/>
          </w:tcPr>
          <w:p>
            <w:pPr>
              <w:spacing w:after="0" w:before="0" w:line="240" w:lineRule="auto"/>
            </w:pPr>
            <w:r>
              <w:rPr>
                <w:b w:val="0"/>
                <w:color w:val="000000"/>
                <w:sz w:val="21"/>
              </w:rPr>
              <w:t>9.50%</w:t>
            </w:r>
          </w:p>
        </w:tc>
        <w:tc>
          <w:tcPr>
            <w:tcW w:type="dxa" w:w="1080"/>
            <w:vAlign w:val="center"/>
          </w:tcPr>
          <w:p>
            <w:pPr>
              <w:spacing w:after="0" w:before="0" w:line="240" w:lineRule="auto"/>
            </w:pPr>
            <w:r>
              <w:rPr>
                <w:b w:val="0"/>
                <w:color w:val="000000"/>
                <w:sz w:val="21"/>
              </w:rPr>
              <w:t>0.432</w:t>
            </w:r>
          </w:p>
        </w:tc>
        <w:tc>
          <w:tcPr>
            <w:tcW w:type="dxa" w:w="1152"/>
            <w:vAlign w:val="center"/>
          </w:tcPr>
          <w:p>
            <w:pPr>
              <w:spacing w:after="0" w:before="0" w:line="240" w:lineRule="auto"/>
            </w:pPr>
            <w:r>
              <w:rPr>
                <w:b w:val="0"/>
                <w:color w:val="000000"/>
                <w:sz w:val="21"/>
              </w:rPr>
              <w:t>-13.56%</w:t>
            </w:r>
          </w:p>
        </w:tc>
        <w:tc>
          <w:tcPr>
            <w:tcW w:type="dxa" w:w="1224"/>
            <w:vAlign w:val="center"/>
          </w:tcPr>
          <w:p>
            <w:pPr>
              <w:spacing w:after="0" w:before="0" w:line="240" w:lineRule="auto"/>
            </w:pPr>
            <w:r>
              <w:rPr>
                <w:b w:val="0"/>
                <w:color w:val="000000"/>
                <w:sz w:val="21"/>
              </w:rPr>
              <w:t>2.17%</w:t>
            </w:r>
          </w:p>
        </w:tc>
        <w:tc>
          <w:tcPr>
            <w:tcW w:type="dxa" w:w="1080"/>
            <w:vAlign w:val="center"/>
          </w:tcPr>
          <w:p>
            <w:pPr>
              <w:spacing w:after="0" w:before="0" w:line="240" w:lineRule="auto"/>
            </w:pPr>
            <w:r>
              <w:rPr>
                <w:b w:val="0"/>
                <w:color w:val="000000"/>
                <w:sz w:val="21"/>
              </w:rPr>
              <w:t>0.211</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6.01%</w:t>
            </w:r>
          </w:p>
        </w:tc>
        <w:tc>
          <w:tcPr>
            <w:tcW w:type="dxa" w:w="1152"/>
            <w:vAlign w:val="center"/>
          </w:tcPr>
          <w:p>
            <w:pPr>
              <w:spacing w:after="0" w:before="0" w:line="240" w:lineRule="auto"/>
            </w:pPr>
            <w:r>
              <w:rPr>
                <w:b w:val="0"/>
                <w:color w:val="000000"/>
                <w:sz w:val="21"/>
              </w:rPr>
              <w:t>9.50%</w:t>
            </w:r>
          </w:p>
        </w:tc>
        <w:tc>
          <w:tcPr>
            <w:tcW w:type="dxa" w:w="1080"/>
            <w:vAlign w:val="center"/>
          </w:tcPr>
          <w:p>
            <w:pPr>
              <w:spacing w:after="0" w:before="0" w:line="240" w:lineRule="auto"/>
            </w:pPr>
            <w:r>
              <w:rPr>
                <w:b w:val="0"/>
                <w:color w:val="000000"/>
                <w:sz w:val="21"/>
              </w:rPr>
              <w:t>0.346</w:t>
            </w:r>
          </w:p>
        </w:tc>
        <w:tc>
          <w:tcPr>
            <w:tcW w:type="dxa" w:w="1152"/>
            <w:vAlign w:val="center"/>
          </w:tcPr>
          <w:p>
            <w:pPr>
              <w:spacing w:after="0" w:before="0" w:line="240" w:lineRule="auto"/>
            </w:pPr>
            <w:r>
              <w:rPr>
                <w:b w:val="0"/>
                <w:color w:val="000000"/>
                <w:sz w:val="21"/>
              </w:rPr>
              <w:t>-13.75%</w:t>
            </w:r>
          </w:p>
        </w:tc>
        <w:tc>
          <w:tcPr>
            <w:tcW w:type="dxa" w:w="1224"/>
            <w:vAlign w:val="center"/>
          </w:tcPr>
          <w:p>
            <w:pPr>
              <w:spacing w:after="0" w:before="0" w:line="240" w:lineRule="auto"/>
            </w:pPr>
            <w:r>
              <w:rPr>
                <w:b w:val="0"/>
                <w:color w:val="000000"/>
                <w:sz w:val="21"/>
              </w:rPr>
              <w:t>1.38%</w:t>
            </w:r>
          </w:p>
        </w:tc>
        <w:tc>
          <w:tcPr>
            <w:tcW w:type="dxa" w:w="1080"/>
            <w:vAlign w:val="center"/>
          </w:tcPr>
          <w:p>
            <w:pPr>
              <w:spacing w:after="0" w:before="0" w:line="240" w:lineRule="auto"/>
            </w:pPr>
            <w:r>
              <w:rPr>
                <w:b w:val="0"/>
                <w:color w:val="000000"/>
                <w:sz w:val="21"/>
              </w:rPr>
              <w:t>0.210</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9.86%</w:t>
            </w:r>
          </w:p>
        </w:tc>
        <w:tc>
          <w:tcPr>
            <w:tcW w:type="dxa" w:w="1152"/>
            <w:vAlign w:val="center"/>
          </w:tcPr>
          <w:p>
            <w:pPr>
              <w:spacing w:after="0" w:before="0" w:line="240" w:lineRule="auto"/>
            </w:pPr>
            <w:r>
              <w:rPr>
                <w:b w:val="0"/>
                <w:color w:val="000000"/>
                <w:sz w:val="21"/>
              </w:rPr>
              <w:t>23.77%</w:t>
            </w:r>
          </w:p>
        </w:tc>
        <w:tc>
          <w:tcPr>
            <w:tcW w:type="dxa" w:w="1080"/>
            <w:vAlign w:val="center"/>
          </w:tcPr>
          <w:p>
            <w:pPr>
              <w:spacing w:after="0" w:before="0" w:line="240" w:lineRule="auto"/>
            </w:pPr>
            <w:r>
              <w:rPr>
                <w:b w:val="0"/>
                <w:color w:val="000000"/>
                <w:sz w:val="21"/>
              </w:rPr>
              <w:t>0.388</w:t>
            </w:r>
          </w:p>
        </w:tc>
        <w:tc>
          <w:tcPr>
            <w:tcW w:type="dxa" w:w="1152"/>
            <w:vAlign w:val="center"/>
          </w:tcPr>
          <w:p>
            <w:pPr>
              <w:spacing w:after="0" w:before="0" w:line="240" w:lineRule="auto"/>
            </w:pPr>
            <w:r>
              <w:rPr>
                <w:b w:val="0"/>
                <w:color w:val="000000"/>
                <w:sz w:val="21"/>
              </w:rPr>
              <w:t>-35.12%</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9.84%</w:t>
            </w:r>
          </w:p>
        </w:tc>
        <w:tc>
          <w:tcPr>
            <w:tcW w:type="dxa" w:w="1152"/>
            <w:vAlign w:val="center"/>
          </w:tcPr>
          <w:p>
            <w:pPr>
              <w:spacing w:after="0" w:before="0" w:line="240" w:lineRule="auto"/>
            </w:pPr>
            <w:r>
              <w:rPr>
                <w:b w:val="0"/>
                <w:color w:val="000000"/>
                <w:sz w:val="21"/>
              </w:rPr>
              <w:t>23.77%</w:t>
            </w:r>
          </w:p>
        </w:tc>
        <w:tc>
          <w:tcPr>
            <w:tcW w:type="dxa" w:w="1080"/>
            <w:vAlign w:val="center"/>
          </w:tcPr>
          <w:p>
            <w:pPr>
              <w:spacing w:after="0" w:before="0" w:line="240" w:lineRule="auto"/>
            </w:pPr>
            <w:r>
              <w:rPr>
                <w:b w:val="0"/>
                <w:color w:val="000000"/>
                <w:sz w:val="21"/>
              </w:rPr>
              <w:t>0.387</w:t>
            </w:r>
          </w:p>
        </w:tc>
        <w:tc>
          <w:tcPr>
            <w:tcW w:type="dxa" w:w="1152"/>
            <w:vAlign w:val="center"/>
          </w:tcPr>
          <w:p>
            <w:pPr>
              <w:spacing w:after="0" w:before="0" w:line="240" w:lineRule="auto"/>
            </w:pPr>
            <w:r>
              <w:rPr>
                <w:b w:val="0"/>
                <w:color w:val="000000"/>
                <w:sz w:val="21"/>
              </w:rPr>
              <w:t>-35.12%</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9.79%</w:t>
            </w:r>
          </w:p>
        </w:tc>
        <w:tc>
          <w:tcPr>
            <w:tcW w:type="dxa" w:w="1152"/>
            <w:vAlign w:val="center"/>
          </w:tcPr>
          <w:p>
            <w:pPr>
              <w:spacing w:after="0" w:before="0" w:line="240" w:lineRule="auto"/>
            </w:pPr>
            <w:r>
              <w:rPr>
                <w:b w:val="0"/>
                <w:color w:val="000000"/>
                <w:sz w:val="21"/>
              </w:rPr>
              <w:t>23.78%</w:t>
            </w:r>
          </w:p>
        </w:tc>
        <w:tc>
          <w:tcPr>
            <w:tcW w:type="dxa" w:w="1080"/>
            <w:vAlign w:val="center"/>
          </w:tcPr>
          <w:p>
            <w:pPr>
              <w:spacing w:after="0" w:before="0" w:line="240" w:lineRule="auto"/>
            </w:pPr>
            <w:r>
              <w:rPr>
                <w:b w:val="0"/>
                <w:color w:val="000000"/>
                <w:sz w:val="21"/>
              </w:rPr>
              <w:t>0.385</w:t>
            </w:r>
          </w:p>
        </w:tc>
        <w:tc>
          <w:tcPr>
            <w:tcW w:type="dxa" w:w="1152"/>
            <w:vAlign w:val="center"/>
          </w:tcPr>
          <w:p>
            <w:pPr>
              <w:spacing w:after="0" w:before="0" w:line="240" w:lineRule="auto"/>
            </w:pPr>
            <w:r>
              <w:rPr>
                <w:b w:val="0"/>
                <w:color w:val="000000"/>
                <w:sz w:val="21"/>
              </w:rPr>
              <w:t>-35.12%</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9.68%</w:t>
            </w:r>
          </w:p>
        </w:tc>
        <w:tc>
          <w:tcPr>
            <w:tcW w:type="dxa" w:w="1152"/>
            <w:vAlign w:val="center"/>
          </w:tcPr>
          <w:p>
            <w:pPr>
              <w:spacing w:after="0" w:before="0" w:line="240" w:lineRule="auto"/>
            </w:pPr>
            <w:r>
              <w:rPr>
                <w:b w:val="0"/>
                <w:color w:val="000000"/>
                <w:sz w:val="21"/>
              </w:rPr>
              <w:t>23.78%</w:t>
            </w:r>
          </w:p>
        </w:tc>
        <w:tc>
          <w:tcPr>
            <w:tcW w:type="dxa" w:w="1080"/>
            <w:vAlign w:val="center"/>
          </w:tcPr>
          <w:p>
            <w:pPr>
              <w:spacing w:after="0" w:before="0" w:line="240" w:lineRule="auto"/>
            </w:pPr>
            <w:r>
              <w:rPr>
                <w:b w:val="0"/>
                <w:color w:val="000000"/>
                <w:sz w:val="21"/>
              </w:rPr>
              <w:t>0.381</w:t>
            </w:r>
          </w:p>
        </w:tc>
        <w:tc>
          <w:tcPr>
            <w:tcW w:type="dxa" w:w="1152"/>
            <w:vAlign w:val="center"/>
          </w:tcPr>
          <w:p>
            <w:pPr>
              <w:spacing w:after="0" w:before="0" w:line="240" w:lineRule="auto"/>
            </w:pPr>
            <w:r>
              <w:rPr>
                <w:b w:val="0"/>
                <w:color w:val="000000"/>
                <w:sz w:val="21"/>
              </w:rPr>
              <w:t>-35.12%</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bl>
    <w:p>
      <w:pPr>
        <w:spacing w:after="0"/>
      </w:pPr>
    </w:p>
    <w:p>
      <w:pPr>
        <w:spacing w:after="140"/>
      </w:pPr>
      <w:r>
        <w:rPr>
          <w:b w:val="0"/>
          <w:i w:val="0"/>
          <w:sz w:val="21"/>
        </w:rPr>
        <w:t>QQQ passive alpha and beta are its self-control identity (0 and 1), not an extra source of active skill. Matched cash controls have undefined cash-excess Sharpe and remain in the machine-readable control table. Full precision and residual diagnostics are available in the supplement.</w:t>
      </w:r>
    </w:p>
    <w:p>
      <w:pPr>
        <w:spacing w:after="140"/>
      </w:pPr>
      <w:r>
        <w:rPr>
          <w:b w:val="0"/>
          <w:i w:val="0"/>
          <w:sz w:val="22"/>
        </w:rPr>
        <w:t>Baseline terminal values from $1,000: Daily cap $1,220.37; Initial cap $1,250.15; Uncapped $1,055.36; Equal initial $1,234.05.</w:t>
      </w:r>
    </w:p>
    <w:p>
      <w:pPr>
        <w:pStyle w:val="Heading1"/>
        <w:pageBreakBefore/>
      </w:pPr>
      <w:r>
        <w:t>Appendix A Historical OOS 2024 to October 15 2026</w:t>
      </w:r>
    </w:p>
    <w:p>
      <w:pPr>
        <w:spacing w:after="140"/>
      </w:pPr>
      <w:r>
        <w:rPr>
          <w:b w:val="0"/>
          <w:i w:val="0"/>
          <w:sz w:val="22"/>
        </w:rPr>
        <w:t>Each row retains the same selected strategy definitions and initial weights. Costs are 1-bp commission plus the listed one-way slippage, each way. Volatility is annualized net return volatility; Sharpe is cash-excess; alpha is annualized arithmetic QQQ-relative intercept. CAGR, volatility, drawdown and alpha are percentages. Beta is unitless.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1800"/>
        <w:gridCol w:w="720"/>
        <w:gridCol w:w="1152"/>
        <w:gridCol w:w="1152"/>
        <w:gridCol w:w="1080"/>
        <w:gridCol w:w="1152"/>
        <w:gridCol w:w="1224"/>
        <w:gridCol w:w="1080"/>
      </w:tblGrid>
      <w:tr>
        <w:trPr>
          <w:cantSplit/>
          <w:tblHeader/>
        </w:trPr>
        <w:tc>
          <w:tcPr>
            <w:tcW w:type="dxa" w:w="1800"/>
            <w:vAlign w:val="center"/>
            <w:shd w:fill="F2F2F2"/>
          </w:tcPr>
          <w:p>
            <w:pPr>
              <w:spacing w:after="0" w:before="0" w:line="240" w:lineRule="auto"/>
            </w:pPr>
            <w:r>
              <w:rPr>
                <w:b/>
                <w:color w:val="000000"/>
                <w:sz w:val="21"/>
              </w:rPr>
              <w:t>Portfolio</w:t>
            </w:r>
          </w:p>
        </w:tc>
        <w:tc>
          <w:tcPr>
            <w:tcW w:type="dxa" w:w="720"/>
            <w:vAlign w:val="center"/>
            <w:shd w:fill="F2F2F2"/>
          </w:tcPr>
          <w:p>
            <w:pPr>
              <w:spacing w:after="0" w:before="0" w:line="240" w:lineRule="auto"/>
            </w:pPr>
            <w:r>
              <w:rPr>
                <w:b/>
                <w:color w:val="000000"/>
                <w:sz w:val="21"/>
              </w:rPr>
              <w:t>Slip bp</w:t>
            </w:r>
          </w:p>
        </w:tc>
        <w:tc>
          <w:tcPr>
            <w:tcW w:type="dxa" w:w="1152"/>
            <w:vAlign w:val="center"/>
            <w:shd w:fill="F2F2F2"/>
          </w:tcPr>
          <w:p>
            <w:pPr>
              <w:spacing w:after="0" w:before="0" w:line="240" w:lineRule="auto"/>
            </w:pPr>
            <w:r>
              <w:rPr>
                <w:b/>
                <w:color w:val="000000"/>
                <w:sz w:val="21"/>
              </w:rPr>
              <w:t>CAGR</w:t>
            </w:r>
          </w:p>
        </w:tc>
        <w:tc>
          <w:tcPr>
            <w:tcW w:type="dxa" w:w="1152"/>
            <w:vAlign w:val="center"/>
            <w:shd w:fill="F2F2F2"/>
          </w:tcPr>
          <w:p>
            <w:pPr>
              <w:spacing w:after="0" w:before="0" w:line="240" w:lineRule="auto"/>
            </w:pPr>
            <w:r>
              <w:rPr>
                <w:b/>
                <w:color w:val="000000"/>
                <w:sz w:val="21"/>
              </w:rPr>
              <w:t>Vol</w:t>
            </w:r>
          </w:p>
        </w:tc>
        <w:tc>
          <w:tcPr>
            <w:tcW w:type="dxa" w:w="1080"/>
            <w:vAlign w:val="center"/>
            <w:shd w:fill="F2F2F2"/>
          </w:tcPr>
          <w:p>
            <w:pPr>
              <w:spacing w:after="0" w:before="0" w:line="240" w:lineRule="auto"/>
            </w:pPr>
            <w:r>
              <w:rPr>
                <w:b/>
                <w:color w:val="000000"/>
                <w:sz w:val="21"/>
              </w:rPr>
              <w:t>Sharpe</w:t>
            </w:r>
          </w:p>
        </w:tc>
        <w:tc>
          <w:tcPr>
            <w:tcW w:type="dxa" w:w="1152"/>
            <w:vAlign w:val="center"/>
            <w:shd w:fill="F2F2F2"/>
          </w:tcPr>
          <w:p>
            <w:pPr>
              <w:spacing w:after="0" w:before="0" w:line="240" w:lineRule="auto"/>
            </w:pPr>
            <w:r>
              <w:rPr>
                <w:b/>
                <w:color w:val="000000"/>
                <w:sz w:val="21"/>
              </w:rPr>
              <w:t>Max DD</w:t>
            </w:r>
          </w:p>
        </w:tc>
        <w:tc>
          <w:tcPr>
            <w:tcW w:type="dxa" w:w="1224"/>
            <w:vAlign w:val="center"/>
            <w:shd w:fill="F2F2F2"/>
          </w:tcPr>
          <w:p>
            <w:pPr>
              <w:spacing w:after="0" w:before="0" w:line="240" w:lineRule="auto"/>
            </w:pPr>
            <w:r>
              <w:rPr>
                <w:b/>
                <w:color w:val="000000"/>
                <w:sz w:val="21"/>
              </w:rPr>
              <w:t>Alpha</w:t>
            </w:r>
          </w:p>
        </w:tc>
        <w:tc>
          <w:tcPr>
            <w:tcW w:type="dxa" w:w="1080"/>
            <w:vAlign w:val="center"/>
            <w:shd w:fill="F2F2F2"/>
          </w:tcPr>
          <w:p>
            <w:pPr>
              <w:spacing w:after="0" w:before="0" w:line="240" w:lineRule="auto"/>
            </w:pPr>
            <w:r>
              <w:rPr>
                <w:b/>
                <w:color w:val="000000"/>
                <w:sz w:val="21"/>
              </w:rPr>
              <w:t>Beta</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21.98%</w:t>
            </w:r>
          </w:p>
        </w:tc>
        <w:tc>
          <w:tcPr>
            <w:tcW w:type="dxa" w:w="1152"/>
            <w:vAlign w:val="center"/>
          </w:tcPr>
          <w:p>
            <w:pPr>
              <w:spacing w:after="0" w:before="0" w:line="240" w:lineRule="auto"/>
            </w:pPr>
            <w:r>
              <w:rPr>
                <w:b w:val="0"/>
                <w:color w:val="000000"/>
                <w:sz w:val="21"/>
              </w:rPr>
              <w:t>6.89%</w:t>
            </w:r>
          </w:p>
        </w:tc>
        <w:tc>
          <w:tcPr>
            <w:tcW w:type="dxa" w:w="1080"/>
            <w:vAlign w:val="center"/>
          </w:tcPr>
          <w:p>
            <w:pPr>
              <w:spacing w:after="0" w:before="0" w:line="240" w:lineRule="auto"/>
            </w:pPr>
            <w:r>
              <w:rPr>
                <w:b w:val="0"/>
                <w:color w:val="000000"/>
                <w:sz w:val="21"/>
              </w:rPr>
              <w:t>2.492</w:t>
            </w:r>
          </w:p>
        </w:tc>
        <w:tc>
          <w:tcPr>
            <w:tcW w:type="dxa" w:w="1152"/>
            <w:vAlign w:val="center"/>
          </w:tcPr>
          <w:p>
            <w:pPr>
              <w:spacing w:after="0" w:before="0" w:line="240" w:lineRule="auto"/>
            </w:pPr>
            <w:r>
              <w:rPr>
                <w:b w:val="0"/>
                <w:color w:val="000000"/>
                <w:sz w:val="21"/>
              </w:rPr>
              <w:t>-4.23%</w:t>
            </w:r>
          </w:p>
        </w:tc>
        <w:tc>
          <w:tcPr>
            <w:tcW w:type="dxa" w:w="1224"/>
            <w:vAlign w:val="center"/>
          </w:tcPr>
          <w:p>
            <w:pPr>
              <w:spacing w:after="0" w:before="0" w:line="240" w:lineRule="auto"/>
            </w:pPr>
            <w:r>
              <w:rPr>
                <w:b w:val="0"/>
                <w:color w:val="000000"/>
                <w:sz w:val="21"/>
              </w:rPr>
              <w:t>13.88%</w:t>
            </w:r>
          </w:p>
        </w:tc>
        <w:tc>
          <w:tcPr>
            <w:tcW w:type="dxa" w:w="1080"/>
            <w:vAlign w:val="center"/>
          </w:tcPr>
          <w:p>
            <w:pPr>
              <w:spacing w:after="0" w:before="0" w:line="240" w:lineRule="auto"/>
            </w:pPr>
            <w:r>
              <w:rPr>
                <w:b w:val="0"/>
                <w:color w:val="000000"/>
                <w:sz w:val="21"/>
              </w:rPr>
              <w:t>0.159</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21.85%</w:t>
            </w:r>
          </w:p>
        </w:tc>
        <w:tc>
          <w:tcPr>
            <w:tcW w:type="dxa" w:w="1152"/>
            <w:vAlign w:val="center"/>
          </w:tcPr>
          <w:p>
            <w:pPr>
              <w:spacing w:after="0" w:before="0" w:line="240" w:lineRule="auto"/>
            </w:pPr>
            <w:r>
              <w:rPr>
                <w:b w:val="0"/>
                <w:color w:val="000000"/>
                <w:sz w:val="21"/>
              </w:rPr>
              <w:t>6.88%</w:t>
            </w:r>
          </w:p>
        </w:tc>
        <w:tc>
          <w:tcPr>
            <w:tcW w:type="dxa" w:w="1080"/>
            <w:vAlign w:val="center"/>
          </w:tcPr>
          <w:p>
            <w:pPr>
              <w:spacing w:after="0" w:before="0" w:line="240" w:lineRule="auto"/>
            </w:pPr>
            <w:r>
              <w:rPr>
                <w:b w:val="0"/>
                <w:color w:val="000000"/>
                <w:sz w:val="21"/>
              </w:rPr>
              <w:t>2.481</w:t>
            </w:r>
          </w:p>
        </w:tc>
        <w:tc>
          <w:tcPr>
            <w:tcW w:type="dxa" w:w="1152"/>
            <w:vAlign w:val="center"/>
          </w:tcPr>
          <w:p>
            <w:pPr>
              <w:spacing w:after="0" w:before="0" w:line="240" w:lineRule="auto"/>
            </w:pPr>
            <w:r>
              <w:rPr>
                <w:b w:val="0"/>
                <w:color w:val="000000"/>
                <w:sz w:val="21"/>
              </w:rPr>
              <w:t>-4.24%</w:t>
            </w:r>
          </w:p>
        </w:tc>
        <w:tc>
          <w:tcPr>
            <w:tcW w:type="dxa" w:w="1224"/>
            <w:vAlign w:val="center"/>
          </w:tcPr>
          <w:p>
            <w:pPr>
              <w:spacing w:after="0" w:before="0" w:line="240" w:lineRule="auto"/>
            </w:pPr>
            <w:r>
              <w:rPr>
                <w:b w:val="0"/>
                <w:color w:val="000000"/>
                <w:sz w:val="21"/>
              </w:rPr>
              <w:t>13.78%</w:t>
            </w:r>
          </w:p>
        </w:tc>
        <w:tc>
          <w:tcPr>
            <w:tcW w:type="dxa" w:w="1080"/>
            <w:vAlign w:val="center"/>
          </w:tcPr>
          <w:p>
            <w:pPr>
              <w:spacing w:after="0" w:before="0" w:line="240" w:lineRule="auto"/>
            </w:pPr>
            <w:r>
              <w:rPr>
                <w:b w:val="0"/>
                <w:color w:val="000000"/>
                <w:sz w:val="21"/>
              </w:rPr>
              <w:t>0.159</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21.42%</w:t>
            </w:r>
          </w:p>
        </w:tc>
        <w:tc>
          <w:tcPr>
            <w:tcW w:type="dxa" w:w="1152"/>
            <w:vAlign w:val="center"/>
          </w:tcPr>
          <w:p>
            <w:pPr>
              <w:spacing w:after="0" w:before="0" w:line="240" w:lineRule="auto"/>
            </w:pPr>
            <w:r>
              <w:rPr>
                <w:b w:val="0"/>
                <w:color w:val="000000"/>
                <w:sz w:val="21"/>
              </w:rPr>
              <w:t>6.85%</w:t>
            </w:r>
          </w:p>
        </w:tc>
        <w:tc>
          <w:tcPr>
            <w:tcW w:type="dxa" w:w="1080"/>
            <w:vAlign w:val="center"/>
          </w:tcPr>
          <w:p>
            <w:pPr>
              <w:spacing w:after="0" w:before="0" w:line="240" w:lineRule="auto"/>
            </w:pPr>
            <w:r>
              <w:rPr>
                <w:b w:val="0"/>
                <w:color w:val="000000"/>
                <w:sz w:val="21"/>
              </w:rPr>
              <w:t>2.440</w:t>
            </w:r>
          </w:p>
        </w:tc>
        <w:tc>
          <w:tcPr>
            <w:tcW w:type="dxa" w:w="1152"/>
            <w:vAlign w:val="center"/>
          </w:tcPr>
          <w:p>
            <w:pPr>
              <w:spacing w:after="0" w:before="0" w:line="240" w:lineRule="auto"/>
            </w:pPr>
            <w:r>
              <w:rPr>
                <w:b w:val="0"/>
                <w:color w:val="000000"/>
                <w:sz w:val="21"/>
              </w:rPr>
              <w:t>-4.25%</w:t>
            </w:r>
          </w:p>
        </w:tc>
        <w:tc>
          <w:tcPr>
            <w:tcW w:type="dxa" w:w="1224"/>
            <w:vAlign w:val="center"/>
          </w:tcPr>
          <w:p>
            <w:pPr>
              <w:spacing w:after="0" w:before="0" w:line="240" w:lineRule="auto"/>
            </w:pPr>
            <w:r>
              <w:rPr>
                <w:b w:val="0"/>
                <w:color w:val="000000"/>
                <w:sz w:val="21"/>
              </w:rPr>
              <w:t>13.43%</w:t>
            </w:r>
          </w:p>
        </w:tc>
        <w:tc>
          <w:tcPr>
            <w:tcW w:type="dxa" w:w="1080"/>
            <w:vAlign w:val="center"/>
          </w:tcPr>
          <w:p>
            <w:pPr>
              <w:spacing w:after="0" w:before="0" w:line="240" w:lineRule="auto"/>
            </w:pPr>
            <w:r>
              <w:rPr>
                <w:b w:val="0"/>
                <w:color w:val="000000"/>
                <w:sz w:val="21"/>
              </w:rPr>
              <w:t>0.159</w:t>
            </w:r>
          </w:p>
        </w:tc>
      </w:tr>
      <w:tr>
        <w:trPr>
          <w:cantSplit/>
        </w:trPr>
        <w:tc>
          <w:tcPr>
            <w:tcW w:type="dxa" w:w="1800"/>
            <w:vAlign w:val="center"/>
          </w:tcPr>
          <w:p>
            <w:pPr>
              <w:spacing w:after="0" w:before="0" w:line="240" w:lineRule="auto"/>
            </w:pPr>
            <w:r>
              <w:rPr>
                <w:b w:val="0"/>
                <w:color w:val="000000"/>
                <w:sz w:val="21"/>
              </w:rPr>
              <w:t>Daily cap</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20.50%</w:t>
            </w:r>
          </w:p>
        </w:tc>
        <w:tc>
          <w:tcPr>
            <w:tcW w:type="dxa" w:w="1152"/>
            <w:vAlign w:val="center"/>
          </w:tcPr>
          <w:p>
            <w:pPr>
              <w:spacing w:after="0" w:before="0" w:line="240" w:lineRule="auto"/>
            </w:pPr>
            <w:r>
              <w:rPr>
                <w:b w:val="0"/>
                <w:color w:val="000000"/>
                <w:sz w:val="21"/>
              </w:rPr>
              <w:t>6.78%</w:t>
            </w:r>
          </w:p>
        </w:tc>
        <w:tc>
          <w:tcPr>
            <w:tcW w:type="dxa" w:w="1080"/>
            <w:vAlign w:val="center"/>
          </w:tcPr>
          <w:p>
            <w:pPr>
              <w:spacing w:after="0" w:before="0" w:line="240" w:lineRule="auto"/>
            </w:pPr>
            <w:r>
              <w:rPr>
                <w:b w:val="0"/>
                <w:color w:val="000000"/>
                <w:sz w:val="21"/>
              </w:rPr>
              <w:t>2.351</w:t>
            </w:r>
          </w:p>
        </w:tc>
        <w:tc>
          <w:tcPr>
            <w:tcW w:type="dxa" w:w="1152"/>
            <w:vAlign w:val="center"/>
          </w:tcPr>
          <w:p>
            <w:pPr>
              <w:spacing w:after="0" w:before="0" w:line="240" w:lineRule="auto"/>
            </w:pPr>
            <w:r>
              <w:rPr>
                <w:b w:val="0"/>
                <w:color w:val="000000"/>
                <w:sz w:val="21"/>
              </w:rPr>
              <w:t>-4.29%</w:t>
            </w:r>
          </w:p>
        </w:tc>
        <w:tc>
          <w:tcPr>
            <w:tcW w:type="dxa" w:w="1224"/>
            <w:vAlign w:val="center"/>
          </w:tcPr>
          <w:p>
            <w:pPr>
              <w:spacing w:after="0" w:before="0" w:line="240" w:lineRule="auto"/>
            </w:pPr>
            <w:r>
              <w:rPr>
                <w:b w:val="0"/>
                <w:color w:val="000000"/>
                <w:sz w:val="21"/>
              </w:rPr>
              <w:t>12.69%</w:t>
            </w:r>
          </w:p>
        </w:tc>
        <w:tc>
          <w:tcPr>
            <w:tcW w:type="dxa" w:w="1080"/>
            <w:vAlign w:val="center"/>
          </w:tcPr>
          <w:p>
            <w:pPr>
              <w:spacing w:after="0" w:before="0" w:line="240" w:lineRule="auto"/>
            </w:pPr>
            <w:r>
              <w:rPr>
                <w:b w:val="0"/>
                <w:color w:val="000000"/>
                <w:sz w:val="21"/>
              </w:rPr>
              <w:t>0.158</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24.71%</w:t>
            </w:r>
          </w:p>
        </w:tc>
        <w:tc>
          <w:tcPr>
            <w:tcW w:type="dxa" w:w="1152"/>
            <w:vAlign w:val="center"/>
          </w:tcPr>
          <w:p>
            <w:pPr>
              <w:spacing w:after="0" w:before="0" w:line="240" w:lineRule="auto"/>
            </w:pPr>
            <w:r>
              <w:rPr>
                <w:b w:val="0"/>
                <w:color w:val="000000"/>
                <w:sz w:val="21"/>
              </w:rPr>
              <w:t>7.79%</w:t>
            </w:r>
          </w:p>
        </w:tc>
        <w:tc>
          <w:tcPr>
            <w:tcW w:type="dxa" w:w="1080"/>
            <w:vAlign w:val="center"/>
          </w:tcPr>
          <w:p>
            <w:pPr>
              <w:spacing w:after="0" w:before="0" w:line="240" w:lineRule="auto"/>
            </w:pPr>
            <w:r>
              <w:rPr>
                <w:b w:val="0"/>
                <w:color w:val="000000"/>
                <w:sz w:val="21"/>
              </w:rPr>
              <w:t>2.499</w:t>
            </w:r>
          </w:p>
        </w:tc>
        <w:tc>
          <w:tcPr>
            <w:tcW w:type="dxa" w:w="1152"/>
            <w:vAlign w:val="center"/>
          </w:tcPr>
          <w:p>
            <w:pPr>
              <w:spacing w:after="0" w:before="0" w:line="240" w:lineRule="auto"/>
            </w:pPr>
            <w:r>
              <w:rPr>
                <w:b w:val="0"/>
                <w:color w:val="000000"/>
                <w:sz w:val="21"/>
              </w:rPr>
              <w:t>-4.66%</w:t>
            </w:r>
          </w:p>
        </w:tc>
        <w:tc>
          <w:tcPr>
            <w:tcW w:type="dxa" w:w="1224"/>
            <w:vAlign w:val="center"/>
          </w:tcPr>
          <w:p>
            <w:pPr>
              <w:spacing w:after="0" w:before="0" w:line="240" w:lineRule="auto"/>
            </w:pPr>
            <w:r>
              <w:rPr>
                <w:b w:val="0"/>
                <w:color w:val="000000"/>
                <w:sz w:val="21"/>
              </w:rPr>
              <w:t>15.80%</w:t>
            </w:r>
          </w:p>
        </w:tc>
        <w:tc>
          <w:tcPr>
            <w:tcW w:type="dxa" w:w="1080"/>
            <w:vAlign w:val="center"/>
          </w:tcPr>
          <w:p>
            <w:pPr>
              <w:spacing w:after="0" w:before="0" w:line="240" w:lineRule="auto"/>
            </w:pPr>
            <w:r>
              <w:rPr>
                <w:b w:val="0"/>
                <w:color w:val="000000"/>
                <w:sz w:val="21"/>
              </w:rPr>
              <w:t>0.177</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24.57%</w:t>
            </w:r>
          </w:p>
        </w:tc>
        <w:tc>
          <w:tcPr>
            <w:tcW w:type="dxa" w:w="1152"/>
            <w:vAlign w:val="center"/>
          </w:tcPr>
          <w:p>
            <w:pPr>
              <w:spacing w:after="0" w:before="0" w:line="240" w:lineRule="auto"/>
            </w:pPr>
            <w:r>
              <w:rPr>
                <w:b w:val="0"/>
                <w:color w:val="000000"/>
                <w:sz w:val="21"/>
              </w:rPr>
              <w:t>7.78%</w:t>
            </w:r>
          </w:p>
        </w:tc>
        <w:tc>
          <w:tcPr>
            <w:tcW w:type="dxa" w:w="1080"/>
            <w:vAlign w:val="center"/>
          </w:tcPr>
          <w:p>
            <w:pPr>
              <w:spacing w:after="0" w:before="0" w:line="240" w:lineRule="auto"/>
            </w:pPr>
            <w:r>
              <w:rPr>
                <w:b w:val="0"/>
                <w:color w:val="000000"/>
                <w:sz w:val="21"/>
              </w:rPr>
              <w:t>2.487</w:t>
            </w:r>
          </w:p>
        </w:tc>
        <w:tc>
          <w:tcPr>
            <w:tcW w:type="dxa" w:w="1152"/>
            <w:vAlign w:val="center"/>
          </w:tcPr>
          <w:p>
            <w:pPr>
              <w:spacing w:after="0" w:before="0" w:line="240" w:lineRule="auto"/>
            </w:pPr>
            <w:r>
              <w:rPr>
                <w:b w:val="0"/>
                <w:color w:val="000000"/>
                <w:sz w:val="21"/>
              </w:rPr>
              <w:t>-4.67%</w:t>
            </w:r>
          </w:p>
        </w:tc>
        <w:tc>
          <w:tcPr>
            <w:tcW w:type="dxa" w:w="1224"/>
            <w:vAlign w:val="center"/>
          </w:tcPr>
          <w:p>
            <w:pPr>
              <w:spacing w:after="0" w:before="0" w:line="240" w:lineRule="auto"/>
            </w:pPr>
            <w:r>
              <w:rPr>
                <w:b w:val="0"/>
                <w:color w:val="000000"/>
                <w:sz w:val="21"/>
              </w:rPr>
              <w:t>15.69%</w:t>
            </w:r>
          </w:p>
        </w:tc>
        <w:tc>
          <w:tcPr>
            <w:tcW w:type="dxa" w:w="1080"/>
            <w:vAlign w:val="center"/>
          </w:tcPr>
          <w:p>
            <w:pPr>
              <w:spacing w:after="0" w:before="0" w:line="240" w:lineRule="auto"/>
            </w:pPr>
            <w:r>
              <w:rPr>
                <w:b w:val="0"/>
                <w:color w:val="000000"/>
                <w:sz w:val="21"/>
              </w:rPr>
              <w:t>0.177</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24.08%</w:t>
            </w:r>
          </w:p>
        </w:tc>
        <w:tc>
          <w:tcPr>
            <w:tcW w:type="dxa" w:w="1152"/>
            <w:vAlign w:val="center"/>
          </w:tcPr>
          <w:p>
            <w:pPr>
              <w:spacing w:after="0" w:before="0" w:line="240" w:lineRule="auto"/>
            </w:pPr>
            <w:r>
              <w:rPr>
                <w:b w:val="0"/>
                <w:color w:val="000000"/>
                <w:sz w:val="21"/>
              </w:rPr>
              <w:t>7.75%</w:t>
            </w:r>
          </w:p>
        </w:tc>
        <w:tc>
          <w:tcPr>
            <w:tcW w:type="dxa" w:w="1080"/>
            <w:vAlign w:val="center"/>
          </w:tcPr>
          <w:p>
            <w:pPr>
              <w:spacing w:after="0" w:before="0" w:line="240" w:lineRule="auto"/>
            </w:pPr>
            <w:r>
              <w:rPr>
                <w:b w:val="0"/>
                <w:color w:val="000000"/>
                <w:sz w:val="21"/>
              </w:rPr>
              <w:t>2.447</w:t>
            </w:r>
          </w:p>
        </w:tc>
        <w:tc>
          <w:tcPr>
            <w:tcW w:type="dxa" w:w="1152"/>
            <w:vAlign w:val="center"/>
          </w:tcPr>
          <w:p>
            <w:pPr>
              <w:spacing w:after="0" w:before="0" w:line="240" w:lineRule="auto"/>
            </w:pPr>
            <w:r>
              <w:rPr>
                <w:b w:val="0"/>
                <w:color w:val="000000"/>
                <w:sz w:val="21"/>
              </w:rPr>
              <w:t>-4.69%</w:t>
            </w:r>
          </w:p>
        </w:tc>
        <w:tc>
          <w:tcPr>
            <w:tcW w:type="dxa" w:w="1224"/>
            <w:vAlign w:val="center"/>
          </w:tcPr>
          <w:p>
            <w:pPr>
              <w:spacing w:after="0" w:before="0" w:line="240" w:lineRule="auto"/>
            </w:pPr>
            <w:r>
              <w:rPr>
                <w:b w:val="0"/>
                <w:color w:val="000000"/>
                <w:sz w:val="21"/>
              </w:rPr>
              <w:t>15.31%</w:t>
            </w:r>
          </w:p>
        </w:tc>
        <w:tc>
          <w:tcPr>
            <w:tcW w:type="dxa" w:w="1080"/>
            <w:vAlign w:val="center"/>
          </w:tcPr>
          <w:p>
            <w:pPr>
              <w:spacing w:after="0" w:before="0" w:line="240" w:lineRule="auto"/>
            </w:pPr>
            <w:r>
              <w:rPr>
                <w:b w:val="0"/>
                <w:color w:val="000000"/>
                <w:sz w:val="21"/>
              </w:rPr>
              <w:t>0.176</w:t>
            </w:r>
          </w:p>
        </w:tc>
      </w:tr>
      <w:tr>
        <w:trPr>
          <w:cantSplit/>
        </w:trPr>
        <w:tc>
          <w:tcPr>
            <w:tcW w:type="dxa" w:w="1800"/>
            <w:vAlign w:val="center"/>
          </w:tcPr>
          <w:p>
            <w:pPr>
              <w:spacing w:after="0" w:before="0" w:line="240" w:lineRule="auto"/>
            </w:pPr>
            <w:r>
              <w:rPr>
                <w:b w:val="0"/>
                <w:color w:val="000000"/>
                <w:sz w:val="21"/>
              </w:rPr>
              <w:t>Initial cap</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23.04%</w:t>
            </w:r>
          </w:p>
        </w:tc>
        <w:tc>
          <w:tcPr>
            <w:tcW w:type="dxa" w:w="1152"/>
            <w:vAlign w:val="center"/>
          </w:tcPr>
          <w:p>
            <w:pPr>
              <w:spacing w:after="0" w:before="0" w:line="240" w:lineRule="auto"/>
            </w:pPr>
            <w:r>
              <w:rPr>
                <w:b w:val="0"/>
                <w:color w:val="000000"/>
                <w:sz w:val="21"/>
              </w:rPr>
              <w:t>7.68%</w:t>
            </w:r>
          </w:p>
        </w:tc>
        <w:tc>
          <w:tcPr>
            <w:tcW w:type="dxa" w:w="1080"/>
            <w:vAlign w:val="center"/>
          </w:tcPr>
          <w:p>
            <w:pPr>
              <w:spacing w:after="0" w:before="0" w:line="240" w:lineRule="auto"/>
            </w:pPr>
            <w:r>
              <w:rPr>
                <w:b w:val="0"/>
                <w:color w:val="000000"/>
                <w:sz w:val="21"/>
              </w:rPr>
              <w:t>2.358</w:t>
            </w:r>
          </w:p>
        </w:tc>
        <w:tc>
          <w:tcPr>
            <w:tcW w:type="dxa" w:w="1152"/>
            <w:vAlign w:val="center"/>
          </w:tcPr>
          <w:p>
            <w:pPr>
              <w:spacing w:after="0" w:before="0" w:line="240" w:lineRule="auto"/>
            </w:pPr>
            <w:r>
              <w:rPr>
                <w:b w:val="0"/>
                <w:color w:val="000000"/>
                <w:sz w:val="21"/>
              </w:rPr>
              <w:t>-4.74%</w:t>
            </w:r>
          </w:p>
        </w:tc>
        <w:tc>
          <w:tcPr>
            <w:tcW w:type="dxa" w:w="1224"/>
            <w:vAlign w:val="center"/>
          </w:tcPr>
          <w:p>
            <w:pPr>
              <w:spacing w:after="0" w:before="0" w:line="240" w:lineRule="auto"/>
            </w:pPr>
            <w:r>
              <w:rPr>
                <w:b w:val="0"/>
                <w:color w:val="000000"/>
                <w:sz w:val="21"/>
              </w:rPr>
              <w:t>14.49%</w:t>
            </w:r>
          </w:p>
        </w:tc>
        <w:tc>
          <w:tcPr>
            <w:tcW w:type="dxa" w:w="1080"/>
            <w:vAlign w:val="center"/>
          </w:tcPr>
          <w:p>
            <w:pPr>
              <w:spacing w:after="0" w:before="0" w:line="240" w:lineRule="auto"/>
            </w:pPr>
            <w:r>
              <w:rPr>
                <w:b w:val="0"/>
                <w:color w:val="000000"/>
                <w:sz w:val="21"/>
              </w:rPr>
              <w:t>0.176</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6.89%</w:t>
            </w:r>
          </w:p>
        </w:tc>
        <w:tc>
          <w:tcPr>
            <w:tcW w:type="dxa" w:w="1152"/>
            <w:vAlign w:val="center"/>
          </w:tcPr>
          <w:p>
            <w:pPr>
              <w:spacing w:after="0" w:before="0" w:line="240" w:lineRule="auto"/>
            </w:pPr>
            <w:r>
              <w:rPr>
                <w:b w:val="0"/>
                <w:color w:val="000000"/>
                <w:sz w:val="21"/>
              </w:rPr>
              <w:t>1.48%</w:t>
            </w:r>
          </w:p>
        </w:tc>
        <w:tc>
          <w:tcPr>
            <w:tcW w:type="dxa" w:w="1080"/>
            <w:vAlign w:val="center"/>
          </w:tcPr>
          <w:p>
            <w:pPr>
              <w:spacing w:after="0" w:before="0" w:line="240" w:lineRule="auto"/>
            </w:pPr>
            <w:r>
              <w:rPr>
                <w:b w:val="0"/>
                <w:color w:val="000000"/>
                <w:sz w:val="21"/>
              </w:rPr>
              <w:t>2.508</w:t>
            </w:r>
          </w:p>
        </w:tc>
        <w:tc>
          <w:tcPr>
            <w:tcW w:type="dxa" w:w="1152"/>
            <w:vAlign w:val="center"/>
          </w:tcPr>
          <w:p>
            <w:pPr>
              <w:spacing w:after="0" w:before="0" w:line="240" w:lineRule="auto"/>
            </w:pPr>
            <w:r>
              <w:rPr>
                <w:b w:val="0"/>
                <w:color w:val="000000"/>
                <w:sz w:val="21"/>
              </w:rPr>
              <w:t>-0.82%</w:t>
            </w:r>
          </w:p>
        </w:tc>
        <w:tc>
          <w:tcPr>
            <w:tcW w:type="dxa" w:w="1224"/>
            <w:vAlign w:val="center"/>
          </w:tcPr>
          <w:p>
            <w:pPr>
              <w:spacing w:after="0" w:before="0" w:line="240" w:lineRule="auto"/>
            </w:pPr>
            <w:r>
              <w:rPr>
                <w:b w:val="0"/>
                <w:color w:val="000000"/>
                <w:sz w:val="21"/>
              </w:rPr>
              <w:t>3.03%</w:t>
            </w:r>
          </w:p>
        </w:tc>
        <w:tc>
          <w:tcPr>
            <w:tcW w:type="dxa" w:w="1080"/>
            <w:vAlign w:val="center"/>
          </w:tcPr>
          <w:p>
            <w:pPr>
              <w:spacing w:after="0" w:before="0" w:line="240" w:lineRule="auto"/>
            </w:pPr>
            <w:r>
              <w:rPr>
                <w:b w:val="0"/>
                <w:color w:val="000000"/>
                <w:sz w:val="21"/>
              </w:rPr>
              <w:t>0.032</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6.86%</w:t>
            </w:r>
          </w:p>
        </w:tc>
        <w:tc>
          <w:tcPr>
            <w:tcW w:type="dxa" w:w="1152"/>
            <w:vAlign w:val="center"/>
          </w:tcPr>
          <w:p>
            <w:pPr>
              <w:spacing w:after="0" w:before="0" w:line="240" w:lineRule="auto"/>
            </w:pPr>
            <w:r>
              <w:rPr>
                <w:b w:val="0"/>
                <w:color w:val="000000"/>
                <w:sz w:val="21"/>
              </w:rPr>
              <w:t>1.47%</w:t>
            </w:r>
          </w:p>
        </w:tc>
        <w:tc>
          <w:tcPr>
            <w:tcW w:type="dxa" w:w="1080"/>
            <w:vAlign w:val="center"/>
          </w:tcPr>
          <w:p>
            <w:pPr>
              <w:spacing w:after="0" w:before="0" w:line="240" w:lineRule="auto"/>
            </w:pPr>
            <w:r>
              <w:rPr>
                <w:b w:val="0"/>
                <w:color w:val="000000"/>
                <w:sz w:val="21"/>
              </w:rPr>
              <w:t>2.497</w:t>
            </w:r>
          </w:p>
        </w:tc>
        <w:tc>
          <w:tcPr>
            <w:tcW w:type="dxa" w:w="1152"/>
            <w:vAlign w:val="center"/>
          </w:tcPr>
          <w:p>
            <w:pPr>
              <w:spacing w:after="0" w:before="0" w:line="240" w:lineRule="auto"/>
            </w:pPr>
            <w:r>
              <w:rPr>
                <w:b w:val="0"/>
                <w:color w:val="000000"/>
                <w:sz w:val="21"/>
              </w:rPr>
              <w:t>-0.82%</w:t>
            </w:r>
          </w:p>
        </w:tc>
        <w:tc>
          <w:tcPr>
            <w:tcW w:type="dxa" w:w="1224"/>
            <w:vAlign w:val="center"/>
          </w:tcPr>
          <w:p>
            <w:pPr>
              <w:spacing w:after="0" w:before="0" w:line="240" w:lineRule="auto"/>
            </w:pPr>
            <w:r>
              <w:rPr>
                <w:b w:val="0"/>
                <w:color w:val="000000"/>
                <w:sz w:val="21"/>
              </w:rPr>
              <w:t>3.00%</w:t>
            </w:r>
          </w:p>
        </w:tc>
        <w:tc>
          <w:tcPr>
            <w:tcW w:type="dxa" w:w="1080"/>
            <w:vAlign w:val="center"/>
          </w:tcPr>
          <w:p>
            <w:pPr>
              <w:spacing w:after="0" w:before="0" w:line="240" w:lineRule="auto"/>
            </w:pPr>
            <w:r>
              <w:rPr>
                <w:b w:val="0"/>
                <w:color w:val="000000"/>
                <w:sz w:val="21"/>
              </w:rPr>
              <w:t>0.032</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6.73%</w:t>
            </w:r>
          </w:p>
        </w:tc>
        <w:tc>
          <w:tcPr>
            <w:tcW w:type="dxa" w:w="1152"/>
            <w:vAlign w:val="center"/>
          </w:tcPr>
          <w:p>
            <w:pPr>
              <w:spacing w:after="0" w:before="0" w:line="240" w:lineRule="auto"/>
            </w:pPr>
            <w:r>
              <w:rPr>
                <w:b w:val="0"/>
                <w:color w:val="000000"/>
                <w:sz w:val="21"/>
              </w:rPr>
              <w:t>1.45%</w:t>
            </w:r>
          </w:p>
        </w:tc>
        <w:tc>
          <w:tcPr>
            <w:tcW w:type="dxa" w:w="1080"/>
            <w:vAlign w:val="center"/>
          </w:tcPr>
          <w:p>
            <w:pPr>
              <w:spacing w:after="0" w:before="0" w:line="240" w:lineRule="auto"/>
            </w:pPr>
            <w:r>
              <w:rPr>
                <w:b w:val="0"/>
                <w:color w:val="000000"/>
                <w:sz w:val="21"/>
              </w:rPr>
              <w:t>2.455</w:t>
            </w:r>
          </w:p>
        </w:tc>
        <w:tc>
          <w:tcPr>
            <w:tcW w:type="dxa" w:w="1152"/>
            <w:vAlign w:val="center"/>
          </w:tcPr>
          <w:p>
            <w:pPr>
              <w:spacing w:after="0" w:before="0" w:line="240" w:lineRule="auto"/>
            </w:pPr>
            <w:r>
              <w:rPr>
                <w:b w:val="0"/>
                <w:color w:val="000000"/>
                <w:sz w:val="21"/>
              </w:rPr>
              <w:t>-0.82%</w:t>
            </w:r>
          </w:p>
        </w:tc>
        <w:tc>
          <w:tcPr>
            <w:tcW w:type="dxa" w:w="1224"/>
            <w:vAlign w:val="center"/>
          </w:tcPr>
          <w:p>
            <w:pPr>
              <w:spacing w:after="0" w:before="0" w:line="240" w:lineRule="auto"/>
            </w:pPr>
            <w:r>
              <w:rPr>
                <w:b w:val="0"/>
                <w:color w:val="000000"/>
                <w:sz w:val="21"/>
              </w:rPr>
              <w:t>2.89%</w:t>
            </w:r>
          </w:p>
        </w:tc>
        <w:tc>
          <w:tcPr>
            <w:tcW w:type="dxa" w:w="1080"/>
            <w:vAlign w:val="center"/>
          </w:tcPr>
          <w:p>
            <w:pPr>
              <w:spacing w:after="0" w:before="0" w:line="240" w:lineRule="auto"/>
            </w:pPr>
            <w:r>
              <w:rPr>
                <w:b w:val="0"/>
                <w:color w:val="000000"/>
                <w:sz w:val="21"/>
              </w:rPr>
              <w:t>0.031</w:t>
            </w:r>
          </w:p>
        </w:tc>
      </w:tr>
      <w:tr>
        <w:trPr>
          <w:cantSplit/>
        </w:trPr>
        <w:tc>
          <w:tcPr>
            <w:tcW w:type="dxa" w:w="1800"/>
            <w:vAlign w:val="center"/>
          </w:tcPr>
          <w:p>
            <w:pPr>
              <w:spacing w:after="0" w:before="0" w:line="240" w:lineRule="auto"/>
            </w:pPr>
            <w:r>
              <w:rPr>
                <w:b w:val="0"/>
                <w:color w:val="000000"/>
                <w:sz w:val="21"/>
              </w:rPr>
              <w:t>Uncapped</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6.46%</w:t>
            </w:r>
          </w:p>
        </w:tc>
        <w:tc>
          <w:tcPr>
            <w:tcW w:type="dxa" w:w="1152"/>
            <w:vAlign w:val="center"/>
          </w:tcPr>
          <w:p>
            <w:pPr>
              <w:spacing w:after="0" w:before="0" w:line="240" w:lineRule="auto"/>
            </w:pPr>
            <w:r>
              <w:rPr>
                <w:b w:val="0"/>
                <w:color w:val="000000"/>
                <w:sz w:val="21"/>
              </w:rPr>
              <w:t>1.41%</w:t>
            </w:r>
          </w:p>
        </w:tc>
        <w:tc>
          <w:tcPr>
            <w:tcW w:type="dxa" w:w="1080"/>
            <w:vAlign w:val="center"/>
          </w:tcPr>
          <w:p>
            <w:pPr>
              <w:spacing w:after="0" w:before="0" w:line="240" w:lineRule="auto"/>
            </w:pPr>
            <w:r>
              <w:rPr>
                <w:b w:val="0"/>
                <w:color w:val="000000"/>
                <w:sz w:val="21"/>
              </w:rPr>
              <w:t>2.351</w:t>
            </w:r>
          </w:p>
        </w:tc>
        <w:tc>
          <w:tcPr>
            <w:tcW w:type="dxa" w:w="1152"/>
            <w:vAlign w:val="center"/>
          </w:tcPr>
          <w:p>
            <w:pPr>
              <w:spacing w:after="0" w:before="0" w:line="240" w:lineRule="auto"/>
            </w:pPr>
            <w:r>
              <w:rPr>
                <w:b w:val="0"/>
                <w:color w:val="000000"/>
                <w:sz w:val="21"/>
              </w:rPr>
              <w:t>-0.82%</w:t>
            </w:r>
          </w:p>
        </w:tc>
        <w:tc>
          <w:tcPr>
            <w:tcW w:type="dxa" w:w="1224"/>
            <w:vAlign w:val="center"/>
          </w:tcPr>
          <w:p>
            <w:pPr>
              <w:spacing w:after="0" w:before="0" w:line="240" w:lineRule="auto"/>
            </w:pPr>
            <w:r>
              <w:rPr>
                <w:b w:val="0"/>
                <w:color w:val="000000"/>
                <w:sz w:val="21"/>
              </w:rPr>
              <w:t>2.64%</w:t>
            </w:r>
          </w:p>
        </w:tc>
        <w:tc>
          <w:tcPr>
            <w:tcW w:type="dxa" w:w="1080"/>
            <w:vAlign w:val="center"/>
          </w:tcPr>
          <w:p>
            <w:pPr>
              <w:spacing w:after="0" w:before="0" w:line="240" w:lineRule="auto"/>
            </w:pPr>
            <w:r>
              <w:rPr>
                <w:b w:val="0"/>
                <w:color w:val="000000"/>
                <w:sz w:val="21"/>
              </w:rPr>
              <w:t>0.031</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20.58%</w:t>
            </w:r>
          </w:p>
        </w:tc>
        <w:tc>
          <w:tcPr>
            <w:tcW w:type="dxa" w:w="1152"/>
            <w:vAlign w:val="center"/>
          </w:tcPr>
          <w:p>
            <w:pPr>
              <w:spacing w:after="0" w:before="0" w:line="240" w:lineRule="auto"/>
            </w:pPr>
            <w:r>
              <w:rPr>
                <w:b w:val="0"/>
                <w:color w:val="000000"/>
                <w:sz w:val="21"/>
              </w:rPr>
              <w:t>7.24%</w:t>
            </w:r>
          </w:p>
        </w:tc>
        <w:tc>
          <w:tcPr>
            <w:tcW w:type="dxa" w:w="1080"/>
            <w:vAlign w:val="center"/>
          </w:tcPr>
          <w:p>
            <w:pPr>
              <w:spacing w:after="0" w:before="0" w:line="240" w:lineRule="auto"/>
            </w:pPr>
            <w:r>
              <w:rPr>
                <w:b w:val="0"/>
                <w:color w:val="000000"/>
                <w:sz w:val="21"/>
              </w:rPr>
              <w:t>2.216</w:t>
            </w:r>
          </w:p>
        </w:tc>
        <w:tc>
          <w:tcPr>
            <w:tcW w:type="dxa" w:w="1152"/>
            <w:vAlign w:val="center"/>
          </w:tcPr>
          <w:p>
            <w:pPr>
              <w:spacing w:after="0" w:before="0" w:line="240" w:lineRule="auto"/>
            </w:pPr>
            <w:r>
              <w:rPr>
                <w:b w:val="0"/>
                <w:color w:val="000000"/>
                <w:sz w:val="21"/>
              </w:rPr>
              <w:t>-4.27%</w:t>
            </w:r>
          </w:p>
        </w:tc>
        <w:tc>
          <w:tcPr>
            <w:tcW w:type="dxa" w:w="1224"/>
            <w:vAlign w:val="center"/>
          </w:tcPr>
          <w:p>
            <w:pPr>
              <w:spacing w:after="0" w:before="0" w:line="240" w:lineRule="auto"/>
            </w:pPr>
            <w:r>
              <w:rPr>
                <w:b w:val="0"/>
                <w:color w:val="000000"/>
                <w:sz w:val="21"/>
              </w:rPr>
              <w:t>10.88%</w:t>
            </w:r>
          </w:p>
        </w:tc>
        <w:tc>
          <w:tcPr>
            <w:tcW w:type="dxa" w:w="1080"/>
            <w:vAlign w:val="center"/>
          </w:tcPr>
          <w:p>
            <w:pPr>
              <w:spacing w:after="0" w:before="0" w:line="240" w:lineRule="auto"/>
            </w:pPr>
            <w:r>
              <w:rPr>
                <w:b w:val="0"/>
                <w:color w:val="000000"/>
                <w:sz w:val="21"/>
              </w:rPr>
              <w:t>0.249</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20.46%</w:t>
            </w:r>
          </w:p>
        </w:tc>
        <w:tc>
          <w:tcPr>
            <w:tcW w:type="dxa" w:w="1152"/>
            <w:vAlign w:val="center"/>
          </w:tcPr>
          <w:p>
            <w:pPr>
              <w:spacing w:after="0" w:before="0" w:line="240" w:lineRule="auto"/>
            </w:pPr>
            <w:r>
              <w:rPr>
                <w:b w:val="0"/>
                <w:color w:val="000000"/>
                <w:sz w:val="21"/>
              </w:rPr>
              <w:t>7.24%</w:t>
            </w:r>
          </w:p>
        </w:tc>
        <w:tc>
          <w:tcPr>
            <w:tcW w:type="dxa" w:w="1080"/>
            <w:vAlign w:val="center"/>
          </w:tcPr>
          <w:p>
            <w:pPr>
              <w:spacing w:after="0" w:before="0" w:line="240" w:lineRule="auto"/>
            </w:pPr>
            <w:r>
              <w:rPr>
                <w:b w:val="0"/>
                <w:color w:val="000000"/>
                <w:sz w:val="21"/>
              </w:rPr>
              <w:t>2.204</w:t>
            </w:r>
          </w:p>
        </w:tc>
        <w:tc>
          <w:tcPr>
            <w:tcW w:type="dxa" w:w="1152"/>
            <w:vAlign w:val="center"/>
          </w:tcPr>
          <w:p>
            <w:pPr>
              <w:spacing w:after="0" w:before="0" w:line="240" w:lineRule="auto"/>
            </w:pPr>
            <w:r>
              <w:rPr>
                <w:b w:val="0"/>
                <w:color w:val="000000"/>
                <w:sz w:val="21"/>
              </w:rPr>
              <w:t>-4.27%</w:t>
            </w:r>
          </w:p>
        </w:tc>
        <w:tc>
          <w:tcPr>
            <w:tcW w:type="dxa" w:w="1224"/>
            <w:vAlign w:val="center"/>
          </w:tcPr>
          <w:p>
            <w:pPr>
              <w:spacing w:after="0" w:before="0" w:line="240" w:lineRule="auto"/>
            </w:pPr>
            <w:r>
              <w:rPr>
                <w:b w:val="0"/>
                <w:color w:val="000000"/>
                <w:sz w:val="21"/>
              </w:rPr>
              <w:t>10.79%</w:t>
            </w:r>
          </w:p>
        </w:tc>
        <w:tc>
          <w:tcPr>
            <w:tcW w:type="dxa" w:w="1080"/>
            <w:vAlign w:val="center"/>
          </w:tcPr>
          <w:p>
            <w:pPr>
              <w:spacing w:after="0" w:before="0" w:line="240" w:lineRule="auto"/>
            </w:pPr>
            <w:r>
              <w:rPr>
                <w:b w:val="0"/>
                <w:color w:val="000000"/>
                <w:sz w:val="21"/>
              </w:rPr>
              <w:t>0.249</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20.07%</w:t>
            </w:r>
          </w:p>
        </w:tc>
        <w:tc>
          <w:tcPr>
            <w:tcW w:type="dxa" w:w="1152"/>
            <w:vAlign w:val="center"/>
          </w:tcPr>
          <w:p>
            <w:pPr>
              <w:spacing w:after="0" w:before="0" w:line="240" w:lineRule="auto"/>
            </w:pPr>
            <w:r>
              <w:rPr>
                <w:b w:val="0"/>
                <w:color w:val="000000"/>
                <w:sz w:val="21"/>
              </w:rPr>
              <w:t>7.22%</w:t>
            </w:r>
          </w:p>
        </w:tc>
        <w:tc>
          <w:tcPr>
            <w:tcW w:type="dxa" w:w="1080"/>
            <w:vAlign w:val="center"/>
          </w:tcPr>
          <w:p>
            <w:pPr>
              <w:spacing w:after="0" w:before="0" w:line="240" w:lineRule="auto"/>
            </w:pPr>
            <w:r>
              <w:rPr>
                <w:b w:val="0"/>
                <w:color w:val="000000"/>
                <w:sz w:val="21"/>
              </w:rPr>
              <w:t>2.164</w:t>
            </w:r>
          </w:p>
        </w:tc>
        <w:tc>
          <w:tcPr>
            <w:tcW w:type="dxa" w:w="1152"/>
            <w:vAlign w:val="center"/>
          </w:tcPr>
          <w:p>
            <w:pPr>
              <w:spacing w:after="0" w:before="0" w:line="240" w:lineRule="auto"/>
            </w:pPr>
            <w:r>
              <w:rPr>
                <w:b w:val="0"/>
                <w:color w:val="000000"/>
                <w:sz w:val="21"/>
              </w:rPr>
              <w:t>-4.29%</w:t>
            </w:r>
          </w:p>
        </w:tc>
        <w:tc>
          <w:tcPr>
            <w:tcW w:type="dxa" w:w="1224"/>
            <w:vAlign w:val="center"/>
          </w:tcPr>
          <w:p>
            <w:pPr>
              <w:spacing w:after="0" w:before="0" w:line="240" w:lineRule="auto"/>
            </w:pPr>
            <w:r>
              <w:rPr>
                <w:b w:val="0"/>
                <w:color w:val="000000"/>
                <w:sz w:val="21"/>
              </w:rPr>
              <w:t>10.48%</w:t>
            </w:r>
          </w:p>
        </w:tc>
        <w:tc>
          <w:tcPr>
            <w:tcW w:type="dxa" w:w="1080"/>
            <w:vAlign w:val="center"/>
          </w:tcPr>
          <w:p>
            <w:pPr>
              <w:spacing w:after="0" w:before="0" w:line="240" w:lineRule="auto"/>
            </w:pPr>
            <w:r>
              <w:rPr>
                <w:b w:val="0"/>
                <w:color w:val="000000"/>
                <w:sz w:val="21"/>
              </w:rPr>
              <w:t>0.249</w:t>
            </w:r>
          </w:p>
        </w:tc>
      </w:tr>
      <w:tr>
        <w:trPr>
          <w:cantSplit/>
        </w:trPr>
        <w:tc>
          <w:tcPr>
            <w:tcW w:type="dxa" w:w="1800"/>
            <w:vAlign w:val="center"/>
          </w:tcPr>
          <w:p>
            <w:pPr>
              <w:spacing w:after="0" w:before="0" w:line="240" w:lineRule="auto"/>
            </w:pPr>
            <w:r>
              <w:rPr>
                <w:b w:val="0"/>
                <w:color w:val="000000"/>
                <w:sz w:val="21"/>
              </w:rPr>
              <w:t>Equal initial</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19.25%</w:t>
            </w:r>
          </w:p>
        </w:tc>
        <w:tc>
          <w:tcPr>
            <w:tcW w:type="dxa" w:w="1152"/>
            <w:vAlign w:val="center"/>
          </w:tcPr>
          <w:p>
            <w:pPr>
              <w:spacing w:after="0" w:before="0" w:line="240" w:lineRule="auto"/>
            </w:pPr>
            <w:r>
              <w:rPr>
                <w:b w:val="0"/>
                <w:color w:val="000000"/>
                <w:sz w:val="21"/>
              </w:rPr>
              <w:t>7.19%</w:t>
            </w:r>
          </w:p>
        </w:tc>
        <w:tc>
          <w:tcPr>
            <w:tcW w:type="dxa" w:w="1080"/>
            <w:vAlign w:val="center"/>
          </w:tcPr>
          <w:p>
            <w:pPr>
              <w:spacing w:after="0" w:before="0" w:line="240" w:lineRule="auto"/>
            </w:pPr>
            <w:r>
              <w:rPr>
                <w:b w:val="0"/>
                <w:color w:val="000000"/>
                <w:sz w:val="21"/>
              </w:rPr>
              <w:t>2.077</w:t>
            </w:r>
          </w:p>
        </w:tc>
        <w:tc>
          <w:tcPr>
            <w:tcW w:type="dxa" w:w="1152"/>
            <w:vAlign w:val="center"/>
          </w:tcPr>
          <w:p>
            <w:pPr>
              <w:spacing w:after="0" w:before="0" w:line="240" w:lineRule="auto"/>
            </w:pPr>
            <w:r>
              <w:rPr>
                <w:b w:val="0"/>
                <w:color w:val="000000"/>
                <w:sz w:val="21"/>
              </w:rPr>
              <w:t>-4.31%</w:t>
            </w:r>
          </w:p>
        </w:tc>
        <w:tc>
          <w:tcPr>
            <w:tcW w:type="dxa" w:w="1224"/>
            <w:vAlign w:val="center"/>
          </w:tcPr>
          <w:p>
            <w:pPr>
              <w:spacing w:after="0" w:before="0" w:line="240" w:lineRule="auto"/>
            </w:pPr>
            <w:r>
              <w:rPr>
                <w:b w:val="0"/>
                <w:color w:val="000000"/>
                <w:sz w:val="21"/>
              </w:rPr>
              <w:t>9.82%</w:t>
            </w:r>
          </w:p>
        </w:tc>
        <w:tc>
          <w:tcPr>
            <w:tcW w:type="dxa" w:w="1080"/>
            <w:vAlign w:val="center"/>
          </w:tcPr>
          <w:p>
            <w:pPr>
              <w:spacing w:after="0" w:before="0" w:line="240" w:lineRule="auto"/>
            </w:pPr>
            <w:r>
              <w:rPr>
                <w:b w:val="0"/>
                <w:color w:val="000000"/>
                <w:sz w:val="21"/>
              </w:rPr>
              <w:t>0.249</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1</w:t>
            </w:r>
          </w:p>
        </w:tc>
        <w:tc>
          <w:tcPr>
            <w:tcW w:type="dxa" w:w="1152"/>
            <w:vAlign w:val="center"/>
          </w:tcPr>
          <w:p>
            <w:pPr>
              <w:spacing w:after="0" w:before="0" w:line="240" w:lineRule="auto"/>
            </w:pPr>
            <w:r>
              <w:rPr>
                <w:b w:val="0"/>
                <w:color w:val="000000"/>
                <w:sz w:val="21"/>
              </w:rPr>
              <w:t>23.95%</w:t>
            </w:r>
          </w:p>
        </w:tc>
        <w:tc>
          <w:tcPr>
            <w:tcW w:type="dxa" w:w="1152"/>
            <w:vAlign w:val="center"/>
          </w:tcPr>
          <w:p>
            <w:pPr>
              <w:spacing w:after="0" w:before="0" w:line="240" w:lineRule="auto"/>
            </w:pPr>
            <w:r>
              <w:rPr>
                <w:b w:val="0"/>
                <w:color w:val="000000"/>
                <w:sz w:val="21"/>
              </w:rPr>
              <w:t>20.75%</w:t>
            </w:r>
          </w:p>
        </w:tc>
        <w:tc>
          <w:tcPr>
            <w:tcW w:type="dxa" w:w="1080"/>
            <w:vAlign w:val="center"/>
          </w:tcPr>
          <w:p>
            <w:pPr>
              <w:spacing w:after="0" w:before="0" w:line="240" w:lineRule="auto"/>
            </w:pPr>
            <w:r>
              <w:rPr>
                <w:b w:val="0"/>
                <w:color w:val="000000"/>
                <w:sz w:val="21"/>
              </w:rPr>
              <w:t>0.997</w:t>
            </w:r>
          </w:p>
        </w:tc>
        <w:tc>
          <w:tcPr>
            <w:tcW w:type="dxa" w:w="1152"/>
            <w:vAlign w:val="center"/>
          </w:tcPr>
          <w:p>
            <w:pPr>
              <w:spacing w:after="0" w:before="0" w:line="240" w:lineRule="auto"/>
            </w:pPr>
            <w:r>
              <w:rPr>
                <w:b w:val="0"/>
                <w:color w:val="000000"/>
                <w:sz w:val="21"/>
              </w:rPr>
              <w:t>-22.77%</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3</w:t>
            </w:r>
          </w:p>
        </w:tc>
        <w:tc>
          <w:tcPr>
            <w:tcW w:type="dxa" w:w="1152"/>
            <w:vAlign w:val="center"/>
          </w:tcPr>
          <w:p>
            <w:pPr>
              <w:spacing w:after="0" w:before="0" w:line="240" w:lineRule="auto"/>
            </w:pPr>
            <w:r>
              <w:rPr>
                <w:b w:val="0"/>
                <w:color w:val="000000"/>
                <w:sz w:val="21"/>
              </w:rPr>
              <w:t>23.93%</w:t>
            </w:r>
          </w:p>
        </w:tc>
        <w:tc>
          <w:tcPr>
            <w:tcW w:type="dxa" w:w="1152"/>
            <w:vAlign w:val="center"/>
          </w:tcPr>
          <w:p>
            <w:pPr>
              <w:spacing w:after="0" w:before="0" w:line="240" w:lineRule="auto"/>
            </w:pPr>
            <w:r>
              <w:rPr>
                <w:b w:val="0"/>
                <w:color w:val="000000"/>
                <w:sz w:val="21"/>
              </w:rPr>
              <w:t>20.75%</w:t>
            </w:r>
          </w:p>
        </w:tc>
        <w:tc>
          <w:tcPr>
            <w:tcW w:type="dxa" w:w="1080"/>
            <w:vAlign w:val="center"/>
          </w:tcPr>
          <w:p>
            <w:pPr>
              <w:spacing w:after="0" w:before="0" w:line="240" w:lineRule="auto"/>
            </w:pPr>
            <w:r>
              <w:rPr>
                <w:b w:val="0"/>
                <w:color w:val="000000"/>
                <w:sz w:val="21"/>
              </w:rPr>
              <w:t>0.996</w:t>
            </w:r>
          </w:p>
        </w:tc>
        <w:tc>
          <w:tcPr>
            <w:tcW w:type="dxa" w:w="1152"/>
            <w:vAlign w:val="center"/>
          </w:tcPr>
          <w:p>
            <w:pPr>
              <w:spacing w:after="0" w:before="0" w:line="240" w:lineRule="auto"/>
            </w:pPr>
            <w:r>
              <w:rPr>
                <w:b w:val="0"/>
                <w:color w:val="000000"/>
                <w:sz w:val="21"/>
              </w:rPr>
              <w:t>-22.77%</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10</w:t>
            </w:r>
          </w:p>
        </w:tc>
        <w:tc>
          <w:tcPr>
            <w:tcW w:type="dxa" w:w="1152"/>
            <w:vAlign w:val="center"/>
          </w:tcPr>
          <w:p>
            <w:pPr>
              <w:spacing w:after="0" w:before="0" w:line="240" w:lineRule="auto"/>
            </w:pPr>
            <w:r>
              <w:rPr>
                <w:b w:val="0"/>
                <w:color w:val="000000"/>
                <w:sz w:val="21"/>
              </w:rPr>
              <w:t>23.87%</w:t>
            </w:r>
          </w:p>
        </w:tc>
        <w:tc>
          <w:tcPr>
            <w:tcW w:type="dxa" w:w="1152"/>
            <w:vAlign w:val="center"/>
          </w:tcPr>
          <w:p>
            <w:pPr>
              <w:spacing w:after="0" w:before="0" w:line="240" w:lineRule="auto"/>
            </w:pPr>
            <w:r>
              <w:rPr>
                <w:b w:val="0"/>
                <w:color w:val="000000"/>
                <w:sz w:val="21"/>
              </w:rPr>
              <w:t>20.75%</w:t>
            </w:r>
          </w:p>
        </w:tc>
        <w:tc>
          <w:tcPr>
            <w:tcW w:type="dxa" w:w="1080"/>
            <w:vAlign w:val="center"/>
          </w:tcPr>
          <w:p>
            <w:pPr>
              <w:spacing w:after="0" w:before="0" w:line="240" w:lineRule="auto"/>
            </w:pPr>
            <w:r>
              <w:rPr>
                <w:b w:val="0"/>
                <w:color w:val="000000"/>
                <w:sz w:val="21"/>
              </w:rPr>
              <w:t>0.993</w:t>
            </w:r>
          </w:p>
        </w:tc>
        <w:tc>
          <w:tcPr>
            <w:tcW w:type="dxa" w:w="1152"/>
            <w:vAlign w:val="center"/>
          </w:tcPr>
          <w:p>
            <w:pPr>
              <w:spacing w:after="0" w:before="0" w:line="240" w:lineRule="auto"/>
            </w:pPr>
            <w:r>
              <w:rPr>
                <w:b w:val="0"/>
                <w:color w:val="000000"/>
                <w:sz w:val="21"/>
              </w:rPr>
              <w:t>-22.77%</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r>
        <w:trPr>
          <w:cantSplit/>
        </w:trPr>
        <w:tc>
          <w:tcPr>
            <w:tcW w:type="dxa" w:w="1800"/>
            <w:vAlign w:val="center"/>
          </w:tcPr>
          <w:p>
            <w:pPr>
              <w:spacing w:after="0" w:before="0" w:line="240" w:lineRule="auto"/>
            </w:pPr>
            <w:r>
              <w:rPr>
                <w:b w:val="0"/>
                <w:color w:val="000000"/>
                <w:sz w:val="21"/>
              </w:rPr>
              <w:t>QQQ passive</w:t>
            </w:r>
          </w:p>
        </w:tc>
        <w:tc>
          <w:tcPr>
            <w:tcW w:type="dxa" w:w="720"/>
            <w:vAlign w:val="center"/>
          </w:tcPr>
          <w:p>
            <w:pPr>
              <w:spacing w:after="0" w:before="0" w:line="240" w:lineRule="auto"/>
            </w:pPr>
            <w:r>
              <w:rPr>
                <w:b w:val="0"/>
                <w:color w:val="000000"/>
                <w:sz w:val="21"/>
              </w:rPr>
              <w:t>25</w:t>
            </w:r>
          </w:p>
        </w:tc>
        <w:tc>
          <w:tcPr>
            <w:tcW w:type="dxa" w:w="1152"/>
            <w:vAlign w:val="center"/>
          </w:tcPr>
          <w:p>
            <w:pPr>
              <w:spacing w:after="0" w:before="0" w:line="240" w:lineRule="auto"/>
            </w:pPr>
            <w:r>
              <w:rPr>
                <w:b w:val="0"/>
                <w:color w:val="000000"/>
                <w:sz w:val="21"/>
              </w:rPr>
              <w:t>23.73%</w:t>
            </w:r>
          </w:p>
        </w:tc>
        <w:tc>
          <w:tcPr>
            <w:tcW w:type="dxa" w:w="1152"/>
            <w:vAlign w:val="center"/>
          </w:tcPr>
          <w:p>
            <w:pPr>
              <w:spacing w:after="0" w:before="0" w:line="240" w:lineRule="auto"/>
            </w:pPr>
            <w:r>
              <w:rPr>
                <w:b w:val="0"/>
                <w:color w:val="000000"/>
                <w:sz w:val="21"/>
              </w:rPr>
              <w:t>20.76%</w:t>
            </w:r>
          </w:p>
        </w:tc>
        <w:tc>
          <w:tcPr>
            <w:tcW w:type="dxa" w:w="1080"/>
            <w:vAlign w:val="center"/>
          </w:tcPr>
          <w:p>
            <w:pPr>
              <w:spacing w:after="0" w:before="0" w:line="240" w:lineRule="auto"/>
            </w:pPr>
            <w:r>
              <w:rPr>
                <w:b w:val="0"/>
                <w:color w:val="000000"/>
                <w:sz w:val="21"/>
              </w:rPr>
              <w:t>0.988</w:t>
            </w:r>
          </w:p>
        </w:tc>
        <w:tc>
          <w:tcPr>
            <w:tcW w:type="dxa" w:w="1152"/>
            <w:vAlign w:val="center"/>
          </w:tcPr>
          <w:p>
            <w:pPr>
              <w:spacing w:after="0" w:before="0" w:line="240" w:lineRule="auto"/>
            </w:pPr>
            <w:r>
              <w:rPr>
                <w:b w:val="0"/>
                <w:color w:val="000000"/>
                <w:sz w:val="21"/>
              </w:rPr>
              <w:t>-22.77%</w:t>
            </w:r>
          </w:p>
        </w:tc>
        <w:tc>
          <w:tcPr>
            <w:tcW w:type="dxa" w:w="1224"/>
            <w:vAlign w:val="center"/>
          </w:tcPr>
          <w:p>
            <w:pPr>
              <w:spacing w:after="0" w:before="0" w:line="240" w:lineRule="auto"/>
            </w:pPr>
            <w:r>
              <w:rPr>
                <w:b w:val="0"/>
                <w:color w:val="000000"/>
                <w:sz w:val="21"/>
              </w:rPr>
              <w:t>0.00%</w:t>
            </w:r>
          </w:p>
        </w:tc>
        <w:tc>
          <w:tcPr>
            <w:tcW w:type="dxa" w:w="1080"/>
            <w:vAlign w:val="center"/>
          </w:tcPr>
          <w:p>
            <w:pPr>
              <w:spacing w:after="0" w:before="0" w:line="240" w:lineRule="auto"/>
            </w:pPr>
            <w:r>
              <w:rPr>
                <w:b w:val="0"/>
                <w:color w:val="000000"/>
                <w:sz w:val="21"/>
              </w:rPr>
              <w:t>1.000</w:t>
            </w:r>
          </w:p>
        </w:tc>
      </w:tr>
    </w:tbl>
    <w:p>
      <w:pPr>
        <w:spacing w:after="0"/>
      </w:pPr>
    </w:p>
    <w:p>
      <w:pPr>
        <w:spacing w:after="140"/>
      </w:pPr>
      <w:r>
        <w:rPr>
          <w:b w:val="0"/>
          <w:i w:val="0"/>
          <w:sz w:val="21"/>
        </w:rPr>
        <w:t>QQQ passive alpha and beta are its self-control identity (0 and 1), not an extra source of active skill. Matched cash controls have undefined cash-excess Sharpe and remain in the machine-readable control table. Full precision and residual diagnostics are available in the supplement.</w:t>
      </w:r>
    </w:p>
    <w:p>
      <w:pPr>
        <w:spacing w:after="140"/>
      </w:pPr>
      <w:r>
        <w:rPr>
          <w:b w:val="0"/>
          <w:i w:val="0"/>
          <w:sz w:val="22"/>
        </w:rPr>
        <w:t>Baseline terminal values from $1,000: Daily cap $1,734.64; Initial cap $1,844.62; Uncapped $1,203.03; Equal initial $1,680.18.</w:t>
      </w:r>
    </w:p>
    <w:p>
      <w:pPr>
        <w:pStyle w:val="Heading1"/>
        <w:pageBreakBefore/>
      </w:pPr>
      <w:r>
        <w:t>Appendix B Reproducibility and Course Coverage</w:t>
      </w:r>
    </w:p>
    <w:p>
      <w:pPr>
        <w:spacing w:after="140"/>
      </w:pPr>
      <w:r>
        <w:rPr>
          <w:b w:val="0"/>
          <w:i w:val="0"/>
        </w:rPr>
        <w:t>The companion archive separates portable arithmetic, public parameter definitions, aggregate results, raster figures and documentation. It omits licensed raw market data, full daily paths, private input locators, credentials and study authorizations. A reader can inspect results and run synthetic tests immediately; numerical replay of account-derived metrics requires the separately held, authenticated daily bundle described by the input schema.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0" w:type="dxa"/>
          <w:right w:w="70" w:type="dxa"/>
        </w:tblCellMar>
      </w:tblPr>
      <w:tblGrid>
        <w:gridCol w:w="2448"/>
        <w:gridCol w:w="6912"/>
      </w:tblGrid>
      <w:tr>
        <w:trPr>
          <w:cantSplit/>
          <w:tblHeader/>
        </w:trPr>
        <w:tc>
          <w:tcPr>
            <w:tcW w:type="dxa" w:w="2448"/>
            <w:vAlign w:val="center"/>
            <w:shd w:fill="F2F2F2"/>
          </w:tcPr>
          <w:p>
            <w:pPr>
              <w:spacing w:after="0" w:before="0" w:line="240" w:lineRule="auto"/>
            </w:pPr>
            <w:r>
              <w:rPr>
                <w:b/>
                <w:color w:val="000000"/>
                <w:sz w:val="22"/>
              </w:rPr>
              <w:t>Course requirement</w:t>
            </w:r>
          </w:p>
        </w:tc>
        <w:tc>
          <w:tcPr>
            <w:tcW w:type="dxa" w:w="6912"/>
            <w:vAlign w:val="center"/>
            <w:shd w:fill="F2F2F2"/>
          </w:tcPr>
          <w:p>
            <w:pPr>
              <w:spacing w:after="0" w:before="0" w:line="240" w:lineRule="auto"/>
            </w:pPr>
            <w:r>
              <w:rPr>
                <w:b/>
                <w:color w:val="000000"/>
                <w:sz w:val="22"/>
              </w:rPr>
              <w:t>Project evidence</w:t>
            </w:r>
          </w:p>
        </w:tc>
      </w:tr>
      <w:tr>
        <w:trPr>
          <w:cantSplit/>
        </w:trPr>
        <w:tc>
          <w:tcPr>
            <w:tcW w:type="dxa" w:w="2448"/>
            <w:vAlign w:val="center"/>
          </w:tcPr>
          <w:p>
            <w:pPr>
              <w:spacing w:after="0" w:before="0" w:line="240" w:lineRule="auto"/>
            </w:pPr>
            <w:r>
              <w:rPr>
                <w:b w:val="0"/>
                <w:color w:val="000000"/>
                <w:sz w:val="22"/>
              </w:rPr>
              <w:t>Project Goal</w:t>
            </w:r>
          </w:p>
        </w:tc>
        <w:tc>
          <w:tcPr>
            <w:tcW w:type="dxa" w:w="6912"/>
            <w:vAlign w:val="center"/>
          </w:tcPr>
          <w:p>
            <w:pPr>
              <w:spacing w:after="0" w:before="0" w:line="240" w:lineRule="auto"/>
            </w:pPr>
            <w:r>
              <w:rPr>
                <w:b w:val="0"/>
                <w:color w:val="000000"/>
                <w:sz w:val="22"/>
              </w:rPr>
              <w:t>ETF momentum and long/cash recovery question, controls and limits</w:t>
            </w:r>
          </w:p>
        </w:tc>
      </w:tr>
      <w:tr>
        <w:trPr>
          <w:cantSplit/>
        </w:trPr>
        <w:tc>
          <w:tcPr>
            <w:tcW w:type="dxa" w:w="2448"/>
            <w:vAlign w:val="center"/>
          </w:tcPr>
          <w:p>
            <w:pPr>
              <w:spacing w:after="0" w:before="0" w:line="240" w:lineRule="auto"/>
            </w:pPr>
            <w:r>
              <w:rPr>
                <w:b w:val="0"/>
                <w:color w:val="000000"/>
                <w:sz w:val="22"/>
              </w:rPr>
              <w:t>Research Outline</w:t>
            </w:r>
          </w:p>
        </w:tc>
        <w:tc>
          <w:tcPr>
            <w:tcW w:type="dxa" w:w="6912"/>
            <w:vAlign w:val="center"/>
          </w:tcPr>
          <w:p>
            <w:pPr>
              <w:spacing w:after="0" w:before="0" w:line="240" w:lineRule="auto"/>
            </w:pPr>
            <w:r>
              <w:rPr>
                <w:b w:val="0"/>
                <w:color w:val="000000"/>
                <w:sz w:val="22"/>
              </w:rPr>
              <w:t>Window/threshold research; hypotheses and honestly labeled extensions</w:t>
            </w:r>
          </w:p>
        </w:tc>
      </w:tr>
      <w:tr>
        <w:trPr>
          <w:cantSplit/>
        </w:trPr>
        <w:tc>
          <w:tcPr>
            <w:tcW w:type="dxa" w:w="2448"/>
            <w:vAlign w:val="center"/>
          </w:tcPr>
          <w:p>
            <w:pPr>
              <w:spacing w:after="0" w:before="0" w:line="240" w:lineRule="auto"/>
            </w:pPr>
            <w:r>
              <w:rPr>
                <w:b w:val="0"/>
                <w:color w:val="000000"/>
                <w:sz w:val="22"/>
              </w:rPr>
              <w:t>Data</w:t>
            </w:r>
          </w:p>
        </w:tc>
        <w:tc>
          <w:tcPr>
            <w:tcW w:type="dxa" w:w="6912"/>
            <w:vAlign w:val="center"/>
          </w:tcPr>
          <w:p>
            <w:pPr>
              <w:spacing w:after="0" w:before="0" w:line="240" w:lineRule="auto"/>
            </w:pPr>
            <w:r>
              <w:rPr>
                <w:b w:val="0"/>
                <w:color w:val="000000"/>
                <w:sz w:val="22"/>
              </w:rPr>
              <w:t>Frozen stages, daily seed, half-hour coverage and price-unit controls</w:t>
            </w:r>
          </w:p>
        </w:tc>
      </w:tr>
      <w:tr>
        <w:trPr>
          <w:cantSplit/>
        </w:trPr>
        <w:tc>
          <w:tcPr>
            <w:tcW w:type="dxa" w:w="2448"/>
            <w:vAlign w:val="center"/>
          </w:tcPr>
          <w:p>
            <w:pPr>
              <w:spacing w:after="0" w:before="0" w:line="240" w:lineRule="auto"/>
            </w:pPr>
            <w:r>
              <w:rPr>
                <w:b w:val="0"/>
                <w:color w:val="000000"/>
                <w:sz w:val="22"/>
              </w:rPr>
              <w:t>Backtesting</w:t>
            </w:r>
          </w:p>
        </w:tc>
        <w:tc>
          <w:tcPr>
            <w:tcW w:type="dxa" w:w="6912"/>
            <w:vAlign w:val="center"/>
          </w:tcPr>
          <w:p>
            <w:pPr>
              <w:spacing w:after="0" w:before="0" w:line="240" w:lineRule="auto"/>
            </w:pPr>
            <w:r>
              <w:rPr>
                <w:b w:val="0"/>
                <w:color w:val="000000"/>
                <w:sz w:val="22"/>
              </w:rPr>
              <w:t>Causal projections, seven checks, next eligible open, fresh stage accounts</w:t>
            </w:r>
          </w:p>
        </w:tc>
      </w:tr>
      <w:tr>
        <w:trPr>
          <w:cantSplit/>
        </w:trPr>
        <w:tc>
          <w:tcPr>
            <w:tcW w:type="dxa" w:w="2448"/>
            <w:vAlign w:val="center"/>
          </w:tcPr>
          <w:p>
            <w:pPr>
              <w:spacing w:after="0" w:before="0" w:line="240" w:lineRule="auto"/>
            </w:pPr>
            <w:r>
              <w:rPr>
                <w:b w:val="0"/>
                <w:color w:val="000000"/>
                <w:sz w:val="22"/>
              </w:rPr>
              <w:t>Execution and Slippage</w:t>
            </w:r>
          </w:p>
        </w:tc>
        <w:tc>
          <w:tcPr>
            <w:tcW w:type="dxa" w:w="6912"/>
            <w:vAlign w:val="center"/>
          </w:tcPr>
          <w:p>
            <w:pPr>
              <w:spacing w:after="0" w:before="0" w:line="240" w:lineRule="auto"/>
            </w:pPr>
            <w:r>
              <w:rPr>
                <w:b w:val="0"/>
                <w:color w:val="000000"/>
                <w:sz w:val="22"/>
              </w:rPr>
              <w:t>1-bp commission and four one-way slippages; terminal costs and cash</w:t>
            </w:r>
          </w:p>
        </w:tc>
      </w:tr>
      <w:tr>
        <w:trPr>
          <w:cantSplit/>
        </w:trPr>
        <w:tc>
          <w:tcPr>
            <w:tcW w:type="dxa" w:w="2448"/>
            <w:vAlign w:val="center"/>
          </w:tcPr>
          <w:p>
            <w:pPr>
              <w:spacing w:after="0" w:before="0" w:line="240" w:lineRule="auto"/>
            </w:pPr>
            <w:r>
              <w:rPr>
                <w:b w:val="0"/>
                <w:color w:val="000000"/>
                <w:sz w:val="22"/>
              </w:rPr>
              <w:t>Weighting</w:t>
            </w:r>
          </w:p>
        </w:tc>
        <w:tc>
          <w:tcPr>
            <w:tcW w:type="dxa" w:w="6912"/>
            <w:vAlign w:val="center"/>
          </w:tcPr>
          <w:p>
            <w:pPr>
              <w:spacing w:after="0" w:before="0" w:line="240" w:lineRule="auto"/>
            </w:pPr>
            <w:r>
              <w:rPr>
                <w:b w:val="0"/>
                <w:color w:val="000000"/>
                <w:sz w:val="22"/>
              </w:rPr>
              <w:t>Four fixed initial allocations; wealth aggregation; observed cap breach</w:t>
            </w:r>
          </w:p>
        </w:tc>
      </w:tr>
      <w:tr>
        <w:trPr>
          <w:cantSplit/>
        </w:trPr>
        <w:tc>
          <w:tcPr>
            <w:tcW w:type="dxa" w:w="2448"/>
            <w:vAlign w:val="center"/>
          </w:tcPr>
          <w:p>
            <w:pPr>
              <w:spacing w:after="0" w:before="0" w:line="240" w:lineRule="auto"/>
            </w:pPr>
            <w:r>
              <w:rPr>
                <w:b w:val="0"/>
                <w:color w:val="000000"/>
                <w:sz w:val="22"/>
              </w:rPr>
              <w:t>Performance Evaluation</w:t>
            </w:r>
          </w:p>
        </w:tc>
        <w:tc>
          <w:tcPr>
            <w:tcW w:type="dxa" w:w="6912"/>
            <w:vAlign w:val="center"/>
          </w:tcPr>
          <w:p>
            <w:pPr>
              <w:spacing w:after="0" w:before="0" w:line="240" w:lineRule="auto"/>
            </w:pPr>
            <w:r>
              <w:rPr>
                <w:b w:val="0"/>
                <w:color w:val="000000"/>
                <w:sz w:val="22"/>
              </w:rPr>
              <w:t>Return, volatility, Sharpe, drawdown, cash and QQQ controls, single and joint alpha/beta</w:t>
            </w:r>
          </w:p>
        </w:tc>
      </w:tr>
    </w:tbl>
    <w:p>
      <w:pPr>
        <w:spacing w:after="0"/>
      </w:pPr>
    </w:p>
    <w:p>
      <w:pPr>
        <w:pStyle w:val="Heading2"/>
      </w:pPr>
      <w:r>
        <w:t>Verification boundary</w:t>
      </w:r>
    </w:p>
    <w:p>
      <w:pPr>
        <w:spacing w:after="140"/>
      </w:pPr>
      <w:r>
        <w:rPr>
          <w:b w:val="0"/>
          <w:i w:val="0"/>
        </w:rPr>
        <w:t>The three-period aggregate report contains 48 portfolio rows, 24 control rows and 48 capital-share rows. Separately implemented saved-path arithmetic verified these statistics. This project adds 48 QQQ single-factor and 48 joint-six-factor regressions, plus passive self-control and rank checks. Input/source hashes are rechecked before and after calculation. New plotting reads saved arrays only and exports raster images without embedded daily numerical series.</w:t>
      </w:r>
    </w:p>
    <w:p>
      <w:pPr>
        <w:spacing w:after="140"/>
      </w:pPr>
      <w:r>
        <w:rPr>
          <w:b w:val="0"/>
          <w:i w:val="0"/>
        </w:rPr>
        <w:t>The original three-period calculation passed 102 portable synthetic tests. Its independent oracle checked statistics and initial/terminal clocks. New attribution fixtures verify known coefficients, self-regressions and invalid input rejection. These tests establish calculation consistency under the specified inputs; they do not validate the economic hypotheses, original vendor truth or future performance.</w:t>
      </w:r>
    </w:p>
    <w:p>
      <w:pPr>
        <w:pStyle w:val="Heading2"/>
      </w:pPr>
      <w:r>
        <w:t>Exact configuration identifiers</w:t>
      </w:r>
    </w:p>
    <w:p>
      <w:pPr>
        <w:spacing w:after="140"/>
      </w:pPr>
      <w:r>
        <w:rPr>
          <w:b w:val="0"/>
          <w:i w:val="0"/>
          <w:sz w:val="19"/>
        </w:rPr>
        <w:t>GDX  mr_30m__zscore_20__entry_m2__exit_0__shared_hours_3</w:t>
      </w:r>
    </w:p>
    <w:p>
      <w:pPr>
        <w:spacing w:after="140"/>
      </w:pPr>
      <w:r>
        <w:rPr>
          <w:b w:val="0"/>
          <w:i w:val="0"/>
          <w:sz w:val="19"/>
        </w:rPr>
        <w:t>FXI  mr_30m__zscore_50__entry_m2__exit_0p5__shared_hours_3</w:t>
      </w:r>
    </w:p>
    <w:p>
      <w:pPr>
        <w:spacing w:after="140"/>
      </w:pPr>
      <w:r>
        <w:rPr>
          <w:b w:val="0"/>
          <w:i w:val="0"/>
          <w:sz w:val="19"/>
        </w:rPr>
        <w:t>QQQ  v5_30m__entry_ema_50__exit_ema_200__entry_hours_3__exit_hours_3</w:t>
      </w:r>
    </w:p>
    <w:p>
      <w:pPr>
        <w:spacing w:after="140"/>
      </w:pPr>
      <w:r>
        <w:rPr>
          <w:b w:val="0"/>
          <w:i w:val="0"/>
          <w:sz w:val="19"/>
        </w:rPr>
        <w:t>UNG  mr_30m__rsi_14__entry_30__exit_50__shared_hours_3</w:t>
      </w:r>
    </w:p>
    <w:p>
      <w:pPr>
        <w:spacing w:after="140"/>
      </w:pPr>
      <w:r>
        <w:rPr>
          <w:b w:val="0"/>
          <w:i w:val="0"/>
          <w:sz w:val="19"/>
        </w:rPr>
        <w:t>FDN  v5_30m__entry_ema_50__exit_ema_100__entry_hours_3__exit_hours_3</w:t>
      </w:r>
    </w:p>
    <w:p>
      <w:pPr>
        <w:spacing w:after="140"/>
      </w:pPr>
      <w:r>
        <w:rPr>
          <w:b w:val="0"/>
          <w:i w:val="0"/>
          <w:sz w:val="19"/>
        </w:rPr>
        <w:t>BND  mr_30m__ema_distance_50__entry_m0p02__exit_0p01__shared_hours_3</w:t>
      </w:r>
    </w:p>
    <w:sectPr w:rsidR="00B53435" w:rsidRPr="00265B8F">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280F"/>
    <w:multiLevelType w:val="hybridMultilevel"/>
    <w:tmpl w:val="EF88C2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FF75A7"/>
    <w:multiLevelType w:val="hybridMultilevel"/>
    <w:tmpl w:val="B17E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3B42E1"/>
    <w:multiLevelType w:val="hybridMultilevel"/>
    <w:tmpl w:val="FD58E2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2305FD4">
      <w:numFmt w:val="bullet"/>
      <w:lvlText w:val=""/>
      <w:lvlJc w:val="left"/>
      <w:pPr>
        <w:ind w:left="2340" w:hanging="360"/>
      </w:pPr>
      <w:rPr>
        <w:rFonts w:ascii="Wingdings" w:eastAsiaTheme="minorHAnsi" w:hAnsi="Wingding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425EE0"/>
    <w:multiLevelType w:val="hybridMultilevel"/>
    <w:tmpl w:val="235E43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BD3EDF"/>
    <w:multiLevelType w:val="hybridMultilevel"/>
    <w:tmpl w:val="52D64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7017A4"/>
    <w:multiLevelType w:val="hybridMultilevel"/>
    <w:tmpl w:val="40F6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126A2A"/>
    <w:multiLevelType w:val="hybridMultilevel"/>
    <w:tmpl w:val="485EC2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5"/>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636"/>
    <w:rsid w:val="00023CAB"/>
    <w:rsid w:val="00025423"/>
    <w:rsid w:val="00050235"/>
    <w:rsid w:val="00057541"/>
    <w:rsid w:val="00063E74"/>
    <w:rsid w:val="000645EF"/>
    <w:rsid w:val="000E7A2D"/>
    <w:rsid w:val="0011400B"/>
    <w:rsid w:val="0013414B"/>
    <w:rsid w:val="001408C5"/>
    <w:rsid w:val="00140B11"/>
    <w:rsid w:val="0016107E"/>
    <w:rsid w:val="0016242C"/>
    <w:rsid w:val="001B4F65"/>
    <w:rsid w:val="001C0D6D"/>
    <w:rsid w:val="001D3797"/>
    <w:rsid w:val="001E0693"/>
    <w:rsid w:val="002218F9"/>
    <w:rsid w:val="002251AE"/>
    <w:rsid w:val="00227D38"/>
    <w:rsid w:val="00242BFB"/>
    <w:rsid w:val="002630C0"/>
    <w:rsid w:val="00265B8F"/>
    <w:rsid w:val="00286544"/>
    <w:rsid w:val="002C380E"/>
    <w:rsid w:val="002E413F"/>
    <w:rsid w:val="00312938"/>
    <w:rsid w:val="00357CAB"/>
    <w:rsid w:val="003708AF"/>
    <w:rsid w:val="00371C83"/>
    <w:rsid w:val="00377D5F"/>
    <w:rsid w:val="00390280"/>
    <w:rsid w:val="003D47F5"/>
    <w:rsid w:val="003F1F29"/>
    <w:rsid w:val="00401901"/>
    <w:rsid w:val="00412AEC"/>
    <w:rsid w:val="00414336"/>
    <w:rsid w:val="00415BEC"/>
    <w:rsid w:val="0042716F"/>
    <w:rsid w:val="004A00C6"/>
    <w:rsid w:val="004A16CF"/>
    <w:rsid w:val="004C196E"/>
    <w:rsid w:val="004C3A41"/>
    <w:rsid w:val="004D5F58"/>
    <w:rsid w:val="004E49B2"/>
    <w:rsid w:val="00516858"/>
    <w:rsid w:val="00516A1F"/>
    <w:rsid w:val="005369B3"/>
    <w:rsid w:val="00584248"/>
    <w:rsid w:val="005D34C1"/>
    <w:rsid w:val="0063295C"/>
    <w:rsid w:val="00651274"/>
    <w:rsid w:val="00652AC6"/>
    <w:rsid w:val="0065457B"/>
    <w:rsid w:val="0069669D"/>
    <w:rsid w:val="006B1C14"/>
    <w:rsid w:val="006C4EBA"/>
    <w:rsid w:val="006C6222"/>
    <w:rsid w:val="006D45A6"/>
    <w:rsid w:val="007A494E"/>
    <w:rsid w:val="007B582F"/>
    <w:rsid w:val="007E1FE5"/>
    <w:rsid w:val="00815F43"/>
    <w:rsid w:val="0081676E"/>
    <w:rsid w:val="00894A17"/>
    <w:rsid w:val="008C25F2"/>
    <w:rsid w:val="008E2567"/>
    <w:rsid w:val="00903F54"/>
    <w:rsid w:val="009108D5"/>
    <w:rsid w:val="00920565"/>
    <w:rsid w:val="009207B0"/>
    <w:rsid w:val="00937087"/>
    <w:rsid w:val="0095294B"/>
    <w:rsid w:val="00961480"/>
    <w:rsid w:val="009D22D8"/>
    <w:rsid w:val="00A017B2"/>
    <w:rsid w:val="00A0427E"/>
    <w:rsid w:val="00A24E7C"/>
    <w:rsid w:val="00A34BD9"/>
    <w:rsid w:val="00A75036"/>
    <w:rsid w:val="00A94D7E"/>
    <w:rsid w:val="00AA41BB"/>
    <w:rsid w:val="00B53435"/>
    <w:rsid w:val="00B6095E"/>
    <w:rsid w:val="00B62F76"/>
    <w:rsid w:val="00B937B2"/>
    <w:rsid w:val="00BA2930"/>
    <w:rsid w:val="00BB28B6"/>
    <w:rsid w:val="00BD1DB4"/>
    <w:rsid w:val="00C039A6"/>
    <w:rsid w:val="00C23C63"/>
    <w:rsid w:val="00C31CCB"/>
    <w:rsid w:val="00C5205F"/>
    <w:rsid w:val="00C64CDC"/>
    <w:rsid w:val="00CD152B"/>
    <w:rsid w:val="00CE4C1E"/>
    <w:rsid w:val="00CE7FA8"/>
    <w:rsid w:val="00CF0C5B"/>
    <w:rsid w:val="00D036B2"/>
    <w:rsid w:val="00D07FF4"/>
    <w:rsid w:val="00D86AB5"/>
    <w:rsid w:val="00DB513A"/>
    <w:rsid w:val="00DB66B4"/>
    <w:rsid w:val="00DC4046"/>
    <w:rsid w:val="00DD7631"/>
    <w:rsid w:val="00E015C3"/>
    <w:rsid w:val="00E0617C"/>
    <w:rsid w:val="00E554E9"/>
    <w:rsid w:val="00E734CE"/>
    <w:rsid w:val="00E91379"/>
    <w:rsid w:val="00E91892"/>
    <w:rsid w:val="00E92317"/>
    <w:rsid w:val="00EA0E5B"/>
    <w:rsid w:val="00EA16E4"/>
    <w:rsid w:val="00EA1D36"/>
    <w:rsid w:val="00EB671E"/>
    <w:rsid w:val="00ED3E90"/>
    <w:rsid w:val="00F61067"/>
    <w:rsid w:val="00F62D11"/>
    <w:rsid w:val="00F911D4"/>
    <w:rsid w:val="00F95AD3"/>
    <w:rsid w:val="00FE0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DC86BF"/>
  <w15:chartTrackingRefBased/>
  <w15:docId w15:val="{D49041BC-A96A-EF40-A826-9801E555B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before="0" w:after="140" w:line="252" w:lineRule="auto"/>
    </w:pPr>
    <w:rPr>
      <w:rFonts w:ascii="Calibri" w:hAnsi="Calibri"/>
      <w:b w:val="0"/>
      <w:color w:val="000000"/>
      <w:sz w:val="24"/>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AC6"/>
    <w:pPr>
      <w:ind w:left="720"/>
      <w:contextualSpacing/>
    </w:pPr>
  </w:style>
  <w:style w:type="paragraph" w:customStyle="1" w:styleId="Title">
    <w:name w:val="Title"/>
    <w:pPr>
      <w:spacing w:before="180" w:after="140" w:line="252" w:lineRule="auto"/>
    </w:pPr>
    <w:rPr>
      <w:rFonts w:ascii="Calibri" w:hAnsi="Calibri"/>
      <w:b/>
      <w:color w:val="000000"/>
      <w:sz w:val="32"/>
      <w:u w:val="none"/>
    </w:rPr>
  </w:style>
  <w:style w:type="paragraph" w:customStyle="1" w:styleId="Subtitle">
    <w:name w:val="Subtitle"/>
    <w:pPr>
      <w:spacing w:before="180" w:after="140" w:line="252" w:lineRule="auto"/>
    </w:pPr>
    <w:rPr>
      <w:rFonts w:ascii="Calibri" w:hAnsi="Calibri"/>
      <w:b w:val="0"/>
      <w:color w:val="000000"/>
      <w:sz w:val="26"/>
      <w:u w:val="none"/>
    </w:rPr>
  </w:style>
  <w:style w:type="paragraph" w:customStyle="1" w:styleId="Heading1">
    <w:name w:val="heading 1"/>
    <w:pPr>
      <w:keepNext/>
      <w:spacing w:before="180" w:after="140" w:line="252" w:lineRule="auto"/>
    </w:pPr>
    <w:rPr>
      <w:rFonts w:ascii="Calibri" w:hAnsi="Calibri"/>
      <w:b/>
      <w:color w:val="000000"/>
      <w:sz w:val="28"/>
      <w:u w:val="none"/>
    </w:rPr>
  </w:style>
  <w:style w:type="paragraph" w:customStyle="1" w:styleId="Heading2">
    <w:name w:val="heading 2"/>
    <w:pPr>
      <w:keepNext/>
      <w:spacing w:before="180" w:after="140" w:line="252" w:lineRule="auto"/>
    </w:pPr>
    <w:rPr>
      <w:rFonts w:ascii="Calibri" w:hAnsi="Calibri"/>
      <w:b/>
      <w:color w:val="000000"/>
      <w:sz w:val="24"/>
      <w:u w:val="none"/>
    </w:rPr>
  </w:style>
  <w:style w:type="paragraph" w:customStyle="1" w:styleId="Caption">
    <w:name w:val="caption"/>
    <w:pPr>
      <w:spacing w:before="180" w:after="140" w:line="252" w:lineRule="auto"/>
    </w:pPr>
    <w:rPr>
      <w:rFonts w:ascii="Calibri" w:hAnsi="Calibri"/>
      <w:b w:val="0"/>
      <w:color w:val="000000"/>
      <w:sz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 Following Study ETF Portfolio Class Project</dc:title>
  <dc:subject>Retrospective momentum and mean reversion ETF portfolio research</dc:subject>
  <dc:creator/>
  <cp:keywords/>
  <dc:description/>
  <cp:lastModifiedBy/>
  <cp:revision>122</cp:revision>
  <dcterms:created xsi:type="dcterms:W3CDTF">2021-12-31T23:37:00Z</dcterms:created>
  <dcterms:modified xsi:type="dcterms:W3CDTF">2022-01-10T00:08:00Z</dcterms:modified>
</cp:coreProperties>
</file>