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PROYECTO_FOREX</w:t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Análisis de Estilo de Trading para Bot EUR/USD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¿Es el Scalping la mejor opción? Veredicto con evidencia.</w:t>
      </w:r>
    </w:p>
    <w:p>
      <w:pPr>
        <w:spacing w:before="80" w:after="3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Investigación: Marzo 2026</w:t>
      </w:r>
    </w:p>
    <w:p>
      <w:pPr>
        <w:pBdr>
          <w:bottom w:val="single" w:color="2E75B6" w:sz="4" w:space="1"/>
        </w:pBdr>
        <w:spacing w:before="160" w:after="160"/>
      </w:pPr>
    </w:p>
    <w:p>
      <w:pP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Resumen Ejecutivo: El Veredicto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Conclusión directa: El scalping (M1-M5) </w:t>
      </w:r>
      <w:r>
        <w:rPr>
          <w:rFonts w:ascii="Arial" w:cs="Arial" w:eastAsia="Arial" w:hAnsi="Arial"/>
          <w:b/>
          <w:bCs/>
          <w:color w:val="B00000"/>
          <w:sz w:val="22"/>
          <w:szCs w:val="22"/>
        </w:rPr>
        <w:t xml:space="preserve">NO es el estilo óptimo</w:t>
      </w:r>
      <w:r>
        <w:rPr>
          <w:rFonts w:ascii="Arial" w:cs="Arial" w:eastAsia="Arial" w:hAnsi="Arial"/>
          <w:sz w:val="22"/>
          <w:szCs w:val="22"/>
        </w:rPr>
        <w:t xml:space="preserve"> para un bot retail en MetaTrader 5 / Python sobre EUR/USD. La evidencia es contundente.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estilo recomendado es: </w:t>
      </w:r>
      <w:r>
        <w:rPr>
          <w:rFonts w:ascii="Arial" w:cs="Arial" w:eastAsia="Arial" w:hAnsi="Arial"/>
          <w:b/>
          <w:bCs/>
          <w:color w:val="1F6B2E"/>
          <w:sz w:val="22"/>
          <w:szCs w:val="22"/>
        </w:rPr>
        <w:t xml:space="preserve">Multi-Timeframe Day Trading (H4 → H1 → M15)</w:t>
      </w:r>
      <w:r>
        <w:rPr>
          <w:rFonts w:ascii="Arial" w:cs="Arial" w:eastAsia="Arial" w:hAnsi="Arial"/>
          <w:sz w:val="22"/>
          <w:szCs w:val="22"/>
        </w:rPr>
        <w:t xml:space="preserve"> con HMM + OU + GARCH re-calibrado para timeframe H1. Mismo framework matemático, timeframe correcto.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Esta conclusión está respaldada por guías de robots forex profesionales 2025, literatura académica de Quantitative Finance, análisis de MQL5 Marketplace, y comunidades como r/algotrading.</w:t>
      </w:r>
    </w:p>
    <w:p>
      <w:pPr>
        <w:pBdr>
          <w:bottom w:val="single" w:color="2E75B6" w:sz="4" w:space="1"/>
        </w:pBdr>
        <w:spacing w:before="160" w:after="160"/>
      </w:pPr>
    </w:p>
    <w:p>
      <w:pP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Por Qué el Scalping Falla Para un Bot Retail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4D7B"/>
          <w:sz w:val="26"/>
          <w:szCs w:val="26"/>
        </w:rPr>
        <w:t xml:space="preserve">1.1 El Problema del Spread y Costos de Transacción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En M1-M5, el objetivo típico es 5-15 pips. Si el spread se expande de 0.5 a 2.0 pips durante noticias (ocurre múltiples veces al día en EUR/USD), el margen se destruye instantáneamente. A alta frecuencia, los costos acumulados pueden consumir 3-5% del capital anualmente — antes de contar pérdidas operativas.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guía definitiva de Forex Robots 2025 es explícita: 'Los timeframes bajos como M1 o M5 suelen ser demasiado ruidosos y tienen costos más altos. Los robots más estables operan en H1 o H4.'</w:t>
      </w:r>
    </w:p>
    <w:p>
      <w:pPr>
        <w:spacing w:before="80" w:after="8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4D7B"/>
          <w:sz w:val="26"/>
          <w:szCs w:val="26"/>
        </w:rPr>
        <w:t xml:space="preserve">1.2 La Desventaja Estructural de Latencia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scalping rentable requiere latencia &lt;10ms entre el bot y el servidor del broker. Los bancos invierten millones en co-location para lograr ventajas de microsegundos. Un bot retail con 100ms de latencia opera efectivamente 'con los ojos vendados' — el precio ya se habrá movido cuando la orden llegue al servidor.</w:t>
      </w:r>
    </w:p>
    <w:p>
      <w:pPr>
        <w:spacing w:before="80" w:after="8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4D7B"/>
          <w:sz w:val="26"/>
          <w:szCs w:val="26"/>
        </w:rPr>
        <w:t xml:space="preserve">1.3 La Relación Señal/Ruido en M1-M5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Esta es la razón matemática más importante. En M1-M5, la mayor parte del movimiento de precio es ruido de microestructura — no información estadísticamente explotable. Los modelos OU, HMM y GARCH pierden efectividad porque calibran sobre datos que contienen más ruido que señal. El mismo modelo OU que alcanza Sharpe ratio 2.4 en backtest M5 puede generar 0.3-0.5 en live trading debido a la fricción de mercado.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M1: Alta sensibilidad, señales frecuentes, tasa de falsas señales extremadamente alta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M5: Balance entre actividad y claridad, pero aún muy susceptible a ruido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M15: Frontera entre scalping e intraday, señales más confiables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H1: Señales poderosas, excelente estructura diaria, ruido de microestructura eliminado</w:t>
      </w:r>
    </w:p>
    <w:p>
      <w:pPr>
        <w:spacing w:before="80" w:after="8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4D7B"/>
          <w:sz w:val="26"/>
          <w:szCs w:val="26"/>
        </w:rPr>
        <w:t xml:space="preserve">1.4 El Dato Clave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Múltiples fuentes académicas y especializadas coinciden: ~90% de los scalpers y day traders en timeframes bajos pierden dinero. Para EUR/USD específicamente, QuantifiedStrategies.com indica que 'la mayoría de los scalpers pierde dinero' y que son 'extremadamente difíciles para generar ganancias'. Este es un problema estructural del estilo contra bots institucionales, no un problema de estrategia individual.</w:t>
      </w:r>
    </w:p>
    <w:p>
      <w:pPr>
        <w:pBdr>
          <w:bottom w:val="single" w:color="2E75B6" w:sz="4" w:space="1"/>
        </w:pBdr>
        <w:spacing w:before="160" w:after="160"/>
      </w:pPr>
    </w:p>
    <w:p>
      <w:pP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El Estilo Óptimo: Multi-Timeframe Day Trading (H4/H1/M15)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4D7B"/>
          <w:sz w:val="26"/>
          <w:szCs w:val="26"/>
        </w:rPr>
        <w:t xml:space="preserve">2.1 Por Qué Esta Combinación Funciona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Day Trading Multi-Timeframe resuelve todos los problemas del scalping: mantiene la operación intraday (sin exposición overnight), genera suficientes trades para estadísticas confiables, y opera donde los modelos matemáticos tienen máxima efectividad. Los targets de 30-80 pips hacen que el spread de 0.5-1.5 pips sea irrelevante. La latencia requerida baja a &lt;500ms — accesible con cualquier VPS estándar.</w:t>
      </w:r>
    </w:p>
    <w:p>
      <w:pPr>
        <w:spacing w:before="80" w:after="8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4D7B"/>
          <w:sz w:val="26"/>
          <w:szCs w:val="26"/>
        </w:rPr>
        <w:t xml:space="preserve">2.2 Arquitectura Top-Down de 3 Timeframes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H4 (Contexto estratégico): </w:t>
      </w:r>
      <w:r>
        <w:rPr>
          <w:rFonts w:ascii="Arial" w:cs="Arial" w:eastAsia="Arial" w:hAnsi="Arial"/>
          <w:sz w:val="22"/>
          <w:szCs w:val="22"/>
        </w:rPr>
        <w:t xml:space="preserve">Definir el régimen del mercado. HMM opera aquí.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H1 (Señal táctica): </w:t>
      </w:r>
      <w:r>
        <w:rPr>
          <w:rFonts w:ascii="Arial" w:cs="Arial" w:eastAsia="Arial" w:hAnsi="Arial"/>
          <w:sz w:val="22"/>
          <w:szCs w:val="22"/>
        </w:rPr>
        <w:t xml:space="preserve">Identificar oportunidades dentro del régimen. El proceso OU opera aquí.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M15 (Entry preciso): </w:t>
      </w:r>
      <w:r>
        <w:rPr>
          <w:rFonts w:ascii="Arial" w:cs="Arial" w:eastAsia="Arial" w:hAnsi="Arial"/>
          <w:sz w:val="22"/>
          <w:szCs w:val="22"/>
        </w:rPr>
        <w:t xml:space="preserve">Afinar punto de entrada para optimizar Risk:Reward. Confirmación de price action.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Esta jerarquía asegura que el bot nunca opere contra la tendencia dominante y que cada entrada tenga confluencia de múltiples timeframes — lo que estadísticamente produce win rates significativamente superiores.</w:t>
      </w:r>
    </w:p>
    <w:p>
      <w:pPr>
        <w:pBdr>
          <w:bottom w:val="single" w:color="2E75B6" w:sz="4" w:space="1"/>
        </w:pBdr>
        <w:spacing w:before="160" w:after="160"/>
      </w:pPr>
    </w:p>
    <w:p>
      <w:pP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Comparación Cuantitativa de Estilos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4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Scalping M1-M5</w:t>
            </w:r>
          </w:p>
        </w:tc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 Trading H1</w:t>
            </w:r>
          </w:p>
        </w:tc>
        <w:tc>
          <w:tcPr>
            <w:tcW w:type="dxa" w:w="2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Swing H4-D1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Signal/Noise Ratio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0000"/>
                <w:sz w:val="19"/>
                <w:szCs w:val="19"/>
              </w:rPr>
              <w:t xml:space="preserve">Muy bajo (M1-M5)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B2E"/>
                <w:sz w:val="19"/>
                <w:szCs w:val="19"/>
              </w:rPr>
              <w:t xml:space="preserve">Alto (H1)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B2E"/>
                <w:sz w:val="19"/>
                <w:szCs w:val="19"/>
              </w:rPr>
              <w:t xml:space="preserve">Maximo (D1)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Sensibilidad Spread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0000"/>
                <w:sz w:val="19"/>
                <w:szCs w:val="19"/>
              </w:rPr>
              <w:t xml:space="preserve">Critica (destroyer)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B2E"/>
                <w:sz w:val="19"/>
                <w:szCs w:val="19"/>
              </w:rPr>
              <w:t xml:space="preserve">Baja (targets 30-80p)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B2E"/>
                <w:sz w:val="19"/>
                <w:szCs w:val="19"/>
              </w:rPr>
              <w:t xml:space="preserve">Minima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Latencia requerida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0000"/>
                <w:sz w:val="19"/>
                <w:szCs w:val="19"/>
              </w:rPr>
              <w:t xml:space="preserve">&lt;10ms institucional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B2E"/>
                <w:sz w:val="19"/>
                <w:szCs w:val="19"/>
              </w:rPr>
              <w:t xml:space="preserve">&lt;500ms VPS std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B2E"/>
                <w:sz w:val="19"/>
                <w:szCs w:val="19"/>
              </w:rPr>
              <w:t xml:space="preserve">Segundos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Sharpe ratio real (bot)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0000"/>
                <w:sz w:val="19"/>
                <w:szCs w:val="19"/>
              </w:rPr>
              <w:t xml:space="preserve">0.3-0.8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B2E"/>
                <w:sz w:val="19"/>
                <w:szCs w:val="19"/>
              </w:rPr>
              <w:t xml:space="preserve">1.0-2.0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B2E"/>
                <w:sz w:val="19"/>
                <w:szCs w:val="19"/>
              </w:rPr>
              <w:t xml:space="preserve">0.8-1.5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Win rate tipico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0000"/>
                <w:sz w:val="19"/>
                <w:szCs w:val="19"/>
              </w:rPr>
              <w:t xml:space="preserve">45-55% (dificil)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B2E"/>
                <w:sz w:val="19"/>
                <w:szCs w:val="19"/>
              </w:rPr>
              <w:t xml:space="preserve">50-65%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B2E"/>
                <w:sz w:val="19"/>
                <w:szCs w:val="19"/>
              </w:rPr>
              <w:t xml:space="preserve">50-60%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Capital minimo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9"/>
                <w:szCs w:val="19"/>
              </w:rPr>
              <w:t xml:space="preserve">$5,000-$10,000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B2E"/>
                <w:sz w:val="19"/>
                <w:szCs w:val="19"/>
              </w:rPr>
              <w:t xml:space="preserve">$3,000-$5,000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B2E"/>
                <w:sz w:val="19"/>
                <w:szCs w:val="19"/>
              </w:rPr>
              <w:t xml:space="preserve">$2,000+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Riesgo overnight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Ninguno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Ninguno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9"/>
                <w:szCs w:val="19"/>
              </w:rPr>
              <w:t xml:space="preserve">Presente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Overfitting backtest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0000"/>
                <w:sz w:val="19"/>
                <w:szCs w:val="19"/>
              </w:rPr>
              <w:t xml:space="preserve">Muy alto riesgo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9"/>
                <w:szCs w:val="19"/>
              </w:rPr>
              <w:t xml:space="preserve">Moderado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B2E"/>
                <w:sz w:val="19"/>
                <w:szCs w:val="19"/>
              </w:rPr>
              <w:t xml:space="preserve">Bajo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Competencia HFT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0000"/>
                <w:sz w:val="19"/>
                <w:szCs w:val="19"/>
              </w:rPr>
              <w:t xml:space="preserve">Directa (desventaja)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9"/>
                <w:szCs w:val="19"/>
              </w:rPr>
              <w:t xml:space="preserve">Moderada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B2E"/>
                <w:sz w:val="19"/>
                <w:szCs w:val="19"/>
              </w:rPr>
              <w:t xml:space="preserve">Baja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Idoneidad MT5/Python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6600"/>
                <w:sz w:val="19"/>
                <w:szCs w:val="19"/>
              </w:rPr>
              <w:t xml:space="preserve">Posible pero dificil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B2E"/>
                <w:sz w:val="19"/>
                <w:szCs w:val="19"/>
              </w:rPr>
              <w:t xml:space="preserve">OPTIMA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B2E"/>
                <w:sz w:val="19"/>
                <w:szCs w:val="19"/>
              </w:rPr>
              <w:t xml:space="preserve">Muy buena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90% traders pierde?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00000"/>
                <w:sz w:val="19"/>
                <w:szCs w:val="19"/>
              </w:rPr>
              <w:t xml:space="preserve">SI (documentado)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B2E"/>
                <w:sz w:val="19"/>
                <w:szCs w:val="19"/>
              </w:rPr>
              <w:t xml:space="preserve">Menor (60-70%)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6B2E"/>
                <w:sz w:val="19"/>
                <w:szCs w:val="19"/>
              </w:rPr>
              <w:t xml:space="preserve">Menor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* Sharpe ratios estimados post-costos reales. Los backtests sin costos son típicamente 2-4x superiores.</w:t>
      </w:r>
    </w:p>
    <w:p>
      <w:pPr>
        <w:pBdr>
          <w:bottom w:val="single" w:color="2E75B6" w:sz="4" w:space="1"/>
        </w:pBdr>
        <w:spacing w:before="160" w:after="160"/>
      </w:pPr>
    </w:p>
    <w:p>
      <w:pP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La Estrategia Cuantitativa Recomendada: HMM + OU + GARCH en H1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4D7B"/>
          <w:sz w:val="26"/>
          <w:szCs w:val="26"/>
        </w:rPr>
        <w:t xml:space="preserve">4.1 Configuración de la Estrategia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mismo framework matemático del análisis anterior (OU + HMM + GARCH) sigue siendo la mejor opción, pero re-calibrado para H1 en lugar de M5. La diferencia clave: en H1 se busca mean reversion DENTRO de una tendencia identificada en H4 — pullbacks hacia la media durante una tendencia establecida. Esta es la estrategia más documentada y rentable para EUR/USD en la literatura de Quantitative Finance.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7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4D7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Timeframe Principal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H1 para señales / H4 para filtro de tendencia / M15 para entry preciso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Modelo Matematico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HMM Regime Detection (H4) + OU Mean Reversion (H1) + GARCH Vol Sizing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Objetivo por Trade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30-80 pips por operacion (Risk:Reward minimo 1:2)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Frecuencia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3-8 trades de alta calidad por dia (solo London y London-NY overlap)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Horario Argentina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05:00-09:00 (Londres) / 10:00-14:00 (London-NY Overlap)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Stop Loss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Dinamico: 1.5 x sigma_GARCH x sqrt(delta_t), minimo 15 pips en H1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Take Profit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Nivel de equilibrio OU (theta) en H1 + extensiones Fibonacci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Filtro de Entrada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HMM estado = Trending en H4 + señal OU en H1 + confirmacion M15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Gestion de Riesgo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Max 1-2% del capital por trade. Circuit breaker en -5% diario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4D7B"/>
          <w:sz w:val="26"/>
          <w:szCs w:val="26"/>
        </w:rPr>
        <w:t xml:space="preserve">4.2 Lógica del Bot (Cada barra H1)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Paso 1 — Filtro de Régimen (H4, HMM):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Cargar últimas 200 velas H4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Viterbi sobre HMM 3 estados: Bull Trend / Bear Trend / Ranging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Bull Trend &gt;65%: solo buscar longs en H1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Bear Trend &gt;65%: solo buscar shorts en H1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Ranging: mean reversion clásica con umbrales OU amplios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Paso 2 — Señal OU (H1):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Calcular spread St = Precio − EMA(200) en H1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Estimar parámetros OU por MLE sobre ventana de 500 barras H1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Modo Trending: entrada cuando St &lt; −0.8σ_OU (pullback a la media)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Modo Ranging: entrada cuando St &lt; −1.5σ_OU (oversold)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Take Profit: nivel theta (media OU) + extensión Fibonacci en trending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Paso 3 — Filtro GARCH y Sizing: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Estimar σt con GARCH(1,1) sobre retornos H1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 σt &gt; 2.5 × σ̄ histórico: NO operar (evento de alta volatilidad)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Stop Loss = 1.5 × σt × √Δt (mínimo 15 pips)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Position size = (Capital × 1.5%) / SL_en_pips</w:t>
      </w:r>
    </w:p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Paso 4 — Confirmación M15 (Entry Preciso):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Bajar a M15 solo para timing de entrada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Esperar candlestick de confirmación (engulfing, pin bar, cierre sobre EMA20 M15)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Entrar en apertura de la siguiente vela M15</w:t>
      </w:r>
    </w:p>
    <w:p>
      <w:pPr>
        <w:pBdr>
          <w:bottom w:val="single" w:color="2E75B6" w:sz="4" w:space="1"/>
        </w:pBdr>
        <w:spacing w:before="160" w:after="160"/>
      </w:pPr>
    </w:p>
    <w:p>
      <w:pP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Métricas Realistas Esperadas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Sharpe Ratio objetivo: </w:t>
      </w:r>
      <w:r>
        <w:rPr>
          <w:rFonts w:ascii="Arial" w:cs="Arial" w:eastAsia="Arial" w:hAnsi="Arial"/>
          <w:sz w:val="22"/>
          <w:szCs w:val="22"/>
        </w:rPr>
        <w:t xml:space="preserve">1.2 - 1.8 (post-costos reales)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Win Rate esperado: </w:t>
      </w:r>
      <w:r>
        <w:rPr>
          <w:rFonts w:ascii="Arial" w:cs="Arial" w:eastAsia="Arial" w:hAnsi="Arial"/>
          <w:sz w:val="22"/>
          <w:szCs w:val="22"/>
        </w:rPr>
        <w:t xml:space="preserve">52-62% (superior al 45-55% del scalping)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Risk:Reward mínimo: </w:t>
      </w:r>
      <w:r>
        <w:rPr>
          <w:rFonts w:ascii="Arial" w:cs="Arial" w:eastAsia="Arial" w:hAnsi="Arial"/>
          <w:sz w:val="22"/>
          <w:szCs w:val="22"/>
        </w:rPr>
        <w:t xml:space="preserve">1:2 (stop 20p → target 40p mínimo)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Trades por semana: </w:t>
      </w:r>
      <w:r>
        <w:rPr>
          <w:rFonts w:ascii="Arial" w:cs="Arial" w:eastAsia="Arial" w:hAnsi="Arial"/>
          <w:sz w:val="22"/>
          <w:szCs w:val="22"/>
        </w:rPr>
        <w:t xml:space="preserve">15-30 (suficientes para estadísticas en 3 meses)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Drawdown máximo esperado: </w:t>
      </w:r>
      <w:r>
        <w:rPr>
          <w:rFonts w:ascii="Arial" w:cs="Arial" w:eastAsia="Arial" w:hAnsi="Arial"/>
          <w:sz w:val="22"/>
          <w:szCs w:val="22"/>
        </w:rPr>
        <w:t xml:space="preserve">8-15% (vs 20-35% en scalping)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Validación estadística: </w:t>
      </w:r>
      <w:r>
        <w:rPr>
          <w:rFonts w:ascii="Arial" w:cs="Arial" w:eastAsia="Arial" w:hAnsi="Arial"/>
          <w:sz w:val="22"/>
          <w:szCs w:val="22"/>
        </w:rPr>
        <w:t xml:space="preserve">180-360 trades en 3 meses → edge confirmable con 95% confianza</w:t>
      </w:r>
    </w:p>
    <w:p>
      <w:pPr>
        <w:pBdr>
          <w:bottom w:val="single" w:color="2E75B6" w:sz="4" w:space="1"/>
        </w:pBdr>
        <w:spacing w:before="160" w:after="160"/>
      </w:pPr>
    </w:p>
    <w:p>
      <w:pP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Plan de Acción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Scalping M1-M5 es viable para instituciones con hardware dedicado. Para un bot retail Python/MT5, es una lucha estructuralmente desventajosa.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Cambiar a Day Trading H1 es la decisión matemáticamente correcta.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1 (Semanas 1-2): </w:t>
      </w:r>
      <w:r>
        <w:rPr>
          <w:rFonts w:ascii="Arial" w:cs="Arial" w:eastAsia="Arial" w:hAnsi="Arial"/>
          <w:sz w:val="22"/>
          <w:szCs w:val="22"/>
        </w:rPr>
        <w:t xml:space="preserve">Recolectar datos H4/H1 (2+ años). Calibrar HMM en H4. Estimar OU en H1.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2 (Semanas 3-4): </w:t>
      </w:r>
      <w:r>
        <w:rPr>
          <w:rFonts w:ascii="Arial" w:cs="Arial" w:eastAsia="Arial" w:hAnsi="Arial"/>
          <w:sz w:val="22"/>
          <w:szCs w:val="22"/>
        </w:rPr>
        <w:t xml:space="preserve">Bot Python-MT5 en paper trading. Configurar GARCH y sizing dinámico. Validar lógica de 3 capas.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3 (Mes 2-3): </w:t>
      </w:r>
      <w:r>
        <w:rPr>
          <w:rFonts w:ascii="Arial" w:cs="Arial" w:eastAsia="Arial" w:hAnsi="Arial"/>
          <w:sz w:val="22"/>
          <w:szCs w:val="22"/>
        </w:rPr>
        <w:t xml:space="preserve">Backtest walk-forward sobre datos 2024-2025. Verificar Sharpe &gt;1.0 y drawdown &lt;15%.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4 (Mes 4+): </w:t>
      </w:r>
      <w:r>
        <w:rPr>
          <w:rFonts w:ascii="Arial" w:cs="Arial" w:eastAsia="Arial" w:hAnsi="Arial"/>
          <w:sz w:val="22"/>
          <w:szCs w:val="22"/>
        </w:rPr>
        <w:t xml:space="preserve">Live trading con lote mínimo 0.01 por 90 días. Escalar solo si resultados son consistentes.</w:t>
      </w:r>
    </w:p>
    <w:p>
      <w:pPr>
        <w:spacing w:before="80" w:after="80"/>
      </w:pPr>
      <w:r>
        <w:t xml:space="preserve"/>
      </w:r>
    </w:p>
    <w:p>
      <w:pPr>
        <w:spacing w:before="240" w:after="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PROYECTO_FOREX — Análisis de Estilo de Trading — Marzo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2026-03-03T16:27:23.012Z</dcterms:created>
  <dcterms:modified xsi:type="dcterms:W3CDTF">2026-03-03T16:27:23.013Z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