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147F" w14:textId="6E2814DA" w:rsidR="00E827D4" w:rsidRPr="00605D84" w:rsidRDefault="00000000" w:rsidP="00605D84">
      <w:pPr>
        <w:pStyle w:val="Ttulo1"/>
        <w:spacing w:before="120"/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lang w:val="es-AR"/>
        </w:rPr>
        <w:t xml:space="preserve">Entrega 1 - Trabajo Práctico Nº1: Data Warehouse y Data </w:t>
      </w:r>
      <w:proofErr w:type="spellStart"/>
      <w:r w:rsidRPr="00605D84">
        <w:rPr>
          <w:rFonts w:ascii="Arial" w:hAnsi="Arial" w:cs="Arial"/>
          <w:lang w:val="es-AR"/>
        </w:rPr>
        <w:t>Mining</w:t>
      </w:r>
      <w:proofErr w:type="spellEnd"/>
    </w:p>
    <w:p w14:paraId="2A9832A2" w14:textId="4DEEFE66" w:rsidR="00605D84" w:rsidRPr="00605D84" w:rsidRDefault="00605D84" w:rsidP="00605D84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605D84">
        <w:rPr>
          <w:rFonts w:ascii="Arial" w:hAnsi="Arial" w:cs="Arial"/>
          <w:b/>
          <w:bCs/>
          <w:sz w:val="24"/>
          <w:szCs w:val="24"/>
          <w:lang w:val="es-AR"/>
        </w:rPr>
        <w:t>Origen de datos - Proceso ETL</w:t>
      </w:r>
    </w:p>
    <w:p w14:paraId="2BDB30B1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lang w:val="es-AR"/>
        </w:rPr>
        <w:t>A continuación, se detalla el origen de los datos y el proceso de transformación (ETL) desde la base de datos operativa al Data Warehouse:</w:t>
      </w:r>
    </w:p>
    <w:p w14:paraId="12E7C6DA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DIM_Tiempo</w:t>
      </w:r>
      <w:proofErr w:type="spellEnd"/>
      <w:r w:rsidRPr="00605D84">
        <w:rPr>
          <w:rFonts w:ascii="Arial" w:hAnsi="Arial" w:cs="Arial"/>
          <w:lang w:val="es-AR"/>
        </w:rPr>
        <w:t>: Se genera automáticamente a partir de las fechas involucradas en los contratos y movimientos de contenedores. Incluye año, mes y día.</w:t>
      </w:r>
    </w:p>
    <w:p w14:paraId="60C456C9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DIM_Servicio</w:t>
      </w:r>
      <w:proofErr w:type="spellEnd"/>
      <w:r w:rsidRPr="00605D84">
        <w:rPr>
          <w:rFonts w:ascii="Arial" w:hAnsi="Arial" w:cs="Arial"/>
          <w:lang w:val="es-AR"/>
        </w:rPr>
        <w:t>: Se carga desde la tabla de servicios del sistema operativo, utilizando datos como buque, puerto de origen/destino y fechas.</w:t>
      </w:r>
    </w:p>
    <w:p w14:paraId="674242B2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DIM_Cliente</w:t>
      </w:r>
      <w:proofErr w:type="spellEnd"/>
      <w:r w:rsidRPr="00605D84">
        <w:rPr>
          <w:rFonts w:ascii="Arial" w:hAnsi="Arial" w:cs="Arial"/>
          <w:lang w:val="es-AR"/>
        </w:rPr>
        <w:t>: Se extrae de la tabla de clientes en la base de datos operativa, incluyendo dirección, localidad, país y región.</w:t>
      </w:r>
    </w:p>
    <w:p w14:paraId="74059328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DIM_Categoria</w:t>
      </w:r>
      <w:proofErr w:type="spellEnd"/>
      <w:r w:rsidRPr="00605D84">
        <w:rPr>
          <w:rFonts w:ascii="Arial" w:hAnsi="Arial" w:cs="Arial"/>
          <w:lang w:val="es-AR"/>
        </w:rPr>
        <w:t>: Proviene de la clasificación de mercadería presente en los contratos.</w:t>
      </w:r>
    </w:p>
    <w:p w14:paraId="14EB6656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DIM_Estado_Contrato</w:t>
      </w:r>
      <w:proofErr w:type="spellEnd"/>
      <w:r w:rsidRPr="00605D84">
        <w:rPr>
          <w:rFonts w:ascii="Arial" w:hAnsi="Arial" w:cs="Arial"/>
          <w:lang w:val="es-AR"/>
        </w:rPr>
        <w:t>: Se toma de los estados predefinidos de contratos en el sistema (Cancelado, En preparación, etc.).</w:t>
      </w:r>
    </w:p>
    <w:p w14:paraId="25C1AE03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DIM_Estado_Contenedor</w:t>
      </w:r>
      <w:proofErr w:type="spellEnd"/>
      <w:r w:rsidRPr="00605D84">
        <w:rPr>
          <w:rFonts w:ascii="Arial" w:hAnsi="Arial" w:cs="Arial"/>
          <w:lang w:val="es-AR"/>
        </w:rPr>
        <w:t xml:space="preserve">: Se obtiene a partir de los movimientos registrados en la tabla </w:t>
      </w:r>
      <w:proofErr w:type="spellStart"/>
      <w:r w:rsidRPr="00605D84">
        <w:rPr>
          <w:rFonts w:ascii="Arial" w:hAnsi="Arial" w:cs="Arial"/>
          <w:lang w:val="es-AR"/>
        </w:rPr>
        <w:t>Movimientos_Contenedores</w:t>
      </w:r>
      <w:proofErr w:type="spellEnd"/>
      <w:r w:rsidRPr="00605D84">
        <w:rPr>
          <w:rFonts w:ascii="Arial" w:hAnsi="Arial" w:cs="Arial"/>
          <w:lang w:val="es-AR"/>
        </w:rPr>
        <w:t>.</w:t>
      </w:r>
    </w:p>
    <w:p w14:paraId="123D687B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DIM_Tipo_Contrato</w:t>
      </w:r>
      <w:proofErr w:type="spellEnd"/>
      <w:r w:rsidRPr="00605D84">
        <w:rPr>
          <w:rFonts w:ascii="Arial" w:hAnsi="Arial" w:cs="Arial"/>
          <w:lang w:val="es-AR"/>
        </w:rPr>
        <w:t>: Deriva del campo tipo de contrato (Importación/Exportación) presente en la base operativa.</w:t>
      </w:r>
    </w:p>
    <w:p w14:paraId="58DE03C9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DIM_Tipo_Contenedor</w:t>
      </w:r>
      <w:proofErr w:type="spellEnd"/>
      <w:r w:rsidRPr="00605D84">
        <w:rPr>
          <w:rFonts w:ascii="Arial" w:hAnsi="Arial" w:cs="Arial"/>
          <w:lang w:val="es-AR"/>
        </w:rPr>
        <w:t>: Se forma a partir de los datos de tamaño, altura y tipo (refrigerado o no) de los contenedores.</w:t>
      </w:r>
    </w:p>
    <w:p w14:paraId="58440C56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DIM_Puerto_Origen</w:t>
      </w:r>
      <w:proofErr w:type="spellEnd"/>
      <w:r w:rsidRPr="00605D84">
        <w:rPr>
          <w:rFonts w:ascii="Arial" w:hAnsi="Arial" w:cs="Arial"/>
          <w:b/>
          <w:bCs/>
          <w:lang w:val="es-AR"/>
        </w:rPr>
        <w:t xml:space="preserve"> /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DIM_Puerto_Destino</w:t>
      </w:r>
      <w:proofErr w:type="spellEnd"/>
      <w:r w:rsidRPr="00605D84">
        <w:rPr>
          <w:rFonts w:ascii="Arial" w:hAnsi="Arial" w:cs="Arial"/>
          <w:lang w:val="es-AR"/>
        </w:rPr>
        <w:t>: Se carga desde los puertos involucrados en los servicios y contratos.</w:t>
      </w:r>
    </w:p>
    <w:p w14:paraId="459A22AC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DIM_Tipo_Envio</w:t>
      </w:r>
      <w:proofErr w:type="spellEnd"/>
      <w:r w:rsidRPr="00605D84">
        <w:rPr>
          <w:rFonts w:ascii="Arial" w:hAnsi="Arial" w:cs="Arial"/>
          <w:lang w:val="es-AR"/>
        </w:rPr>
        <w:t xml:space="preserve">: Se extrae del tipo de envío (puerto a puerto, </w:t>
      </w:r>
      <w:proofErr w:type="spellStart"/>
      <w:r w:rsidRPr="00605D84">
        <w:rPr>
          <w:rFonts w:ascii="Arial" w:hAnsi="Arial" w:cs="Arial"/>
          <w:lang w:val="es-AR"/>
        </w:rPr>
        <w:t>door</w:t>
      </w:r>
      <w:proofErr w:type="spellEnd"/>
      <w:r w:rsidRPr="00605D84">
        <w:rPr>
          <w:rFonts w:ascii="Arial" w:hAnsi="Arial" w:cs="Arial"/>
          <w:lang w:val="es-AR"/>
        </w:rPr>
        <w:t xml:space="preserve"> </w:t>
      </w:r>
      <w:proofErr w:type="spellStart"/>
      <w:r w:rsidRPr="00605D84">
        <w:rPr>
          <w:rFonts w:ascii="Arial" w:hAnsi="Arial" w:cs="Arial"/>
          <w:lang w:val="es-AR"/>
        </w:rPr>
        <w:t>to</w:t>
      </w:r>
      <w:proofErr w:type="spellEnd"/>
      <w:r w:rsidRPr="00605D84">
        <w:rPr>
          <w:rFonts w:ascii="Arial" w:hAnsi="Arial" w:cs="Arial"/>
          <w:lang w:val="es-AR"/>
        </w:rPr>
        <w:t xml:space="preserve"> </w:t>
      </w:r>
      <w:proofErr w:type="spellStart"/>
      <w:r w:rsidRPr="00605D84">
        <w:rPr>
          <w:rFonts w:ascii="Arial" w:hAnsi="Arial" w:cs="Arial"/>
          <w:lang w:val="es-AR"/>
        </w:rPr>
        <w:t>door</w:t>
      </w:r>
      <w:proofErr w:type="spellEnd"/>
      <w:r w:rsidRPr="00605D84">
        <w:rPr>
          <w:rFonts w:ascii="Arial" w:hAnsi="Arial" w:cs="Arial"/>
          <w:lang w:val="es-AR"/>
        </w:rPr>
        <w:t>, etc.) indicado en el contrato.</w:t>
      </w:r>
    </w:p>
    <w:p w14:paraId="4530FBBF" w14:textId="77777777" w:rsidR="00605D84" w:rsidRPr="00605D84" w:rsidRDefault="00605D84" w:rsidP="00605D84">
      <w:pPr>
        <w:rPr>
          <w:rFonts w:ascii="Arial" w:hAnsi="Arial" w:cs="Arial"/>
          <w:lang w:val="es-AR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FT_Contratos</w:t>
      </w:r>
      <w:proofErr w:type="spellEnd"/>
      <w:r w:rsidRPr="00605D84">
        <w:rPr>
          <w:rFonts w:ascii="Arial" w:hAnsi="Arial" w:cs="Arial"/>
          <w:lang w:val="es-AR"/>
        </w:rPr>
        <w:t xml:space="preserve">: Se arma consolidando información de los contratos, cantidad de kg transportados, </w:t>
      </w:r>
      <w:proofErr w:type="spellStart"/>
      <w:r w:rsidRPr="00605D84">
        <w:rPr>
          <w:rFonts w:ascii="Arial" w:hAnsi="Arial" w:cs="Arial"/>
          <w:lang w:val="es-AR"/>
        </w:rPr>
        <w:t>TEUs</w:t>
      </w:r>
      <w:proofErr w:type="spellEnd"/>
      <w:r w:rsidRPr="00605D84">
        <w:rPr>
          <w:rFonts w:ascii="Arial" w:hAnsi="Arial" w:cs="Arial"/>
          <w:lang w:val="es-AR"/>
        </w:rPr>
        <w:t xml:space="preserve"> y cantidad de contratos. Se enlaza con dimensiones mediante los identificadores.</w:t>
      </w:r>
    </w:p>
    <w:p w14:paraId="0336B15F" w14:textId="77777777" w:rsidR="00605D84" w:rsidRPr="00605D84" w:rsidRDefault="00605D84" w:rsidP="00605D84">
      <w:pPr>
        <w:rPr>
          <w:rFonts w:ascii="Arial" w:hAnsi="Arial" w:cs="Arial"/>
        </w:rPr>
      </w:pPr>
      <w:r w:rsidRPr="00605D84">
        <w:rPr>
          <w:rFonts w:ascii="Arial" w:hAnsi="Arial" w:cs="Arial"/>
          <w:b/>
          <w:bCs/>
          <w:lang w:val="es-AR"/>
        </w:rPr>
        <w:t xml:space="preserve">- </w:t>
      </w:r>
      <w:proofErr w:type="spellStart"/>
      <w:r w:rsidRPr="00605D84">
        <w:rPr>
          <w:rFonts w:ascii="Arial" w:hAnsi="Arial" w:cs="Arial"/>
          <w:b/>
          <w:bCs/>
          <w:lang w:val="es-AR"/>
        </w:rPr>
        <w:t>FT_Inventario_Contenedores</w:t>
      </w:r>
      <w:proofErr w:type="spellEnd"/>
      <w:r w:rsidRPr="00605D84">
        <w:rPr>
          <w:rFonts w:ascii="Arial" w:hAnsi="Arial" w:cs="Arial"/>
          <w:lang w:val="es-AR"/>
        </w:rPr>
        <w:t xml:space="preserve">: Se forma con base en los registros de ubicación de contenedores por puerto y fecha, teniendo en cuenta su tipo y estado. </w:t>
      </w:r>
      <w:r w:rsidRPr="00605D84">
        <w:rPr>
          <w:rFonts w:ascii="Arial" w:hAnsi="Arial" w:cs="Arial"/>
        </w:rPr>
        <w:t xml:space="preserve">Se </w:t>
      </w:r>
      <w:proofErr w:type="spellStart"/>
      <w:r w:rsidRPr="00605D84">
        <w:rPr>
          <w:rFonts w:ascii="Arial" w:hAnsi="Arial" w:cs="Arial"/>
        </w:rPr>
        <w:t>agrupan</w:t>
      </w:r>
      <w:proofErr w:type="spellEnd"/>
      <w:r w:rsidRPr="00605D84">
        <w:rPr>
          <w:rFonts w:ascii="Arial" w:hAnsi="Arial" w:cs="Arial"/>
        </w:rPr>
        <w:t xml:space="preserve"> </w:t>
      </w:r>
      <w:proofErr w:type="spellStart"/>
      <w:r w:rsidRPr="00605D84">
        <w:rPr>
          <w:rFonts w:ascii="Arial" w:hAnsi="Arial" w:cs="Arial"/>
        </w:rPr>
        <w:t>por</w:t>
      </w:r>
      <w:proofErr w:type="spellEnd"/>
      <w:r w:rsidRPr="00605D84">
        <w:rPr>
          <w:rFonts w:ascii="Arial" w:hAnsi="Arial" w:cs="Arial"/>
        </w:rPr>
        <w:t xml:space="preserve"> día.</w:t>
      </w:r>
    </w:p>
    <w:p w14:paraId="42736C40" w14:textId="77777777" w:rsidR="00E827D4" w:rsidRPr="00E827D4" w:rsidRDefault="00E827D4" w:rsidP="00E827D4">
      <w:pPr>
        <w:rPr>
          <w:lang w:val="es-AR"/>
        </w:rPr>
      </w:pPr>
    </w:p>
    <w:p w14:paraId="7F1EB809" w14:textId="6777E4E8" w:rsidR="007C596B" w:rsidRPr="00E827D4" w:rsidRDefault="00E827D4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6536E635" wp14:editId="149F1034">
            <wp:extent cx="6092456" cy="7512502"/>
            <wp:effectExtent l="0" t="0" r="3810" b="0"/>
            <wp:docPr id="629459815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9815" name="Imagen 1" descr="Imagen que contiene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2" t="8289" r="14956" b="4938"/>
                    <a:stretch/>
                  </pic:blipFill>
                  <pic:spPr bwMode="auto">
                    <a:xfrm>
                      <a:off x="0" y="0"/>
                      <a:ext cx="6109927" cy="753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596B" w:rsidRPr="00E827D4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8156" w14:textId="77777777" w:rsidR="00452F4B" w:rsidRDefault="00452F4B" w:rsidP="00E827D4">
      <w:pPr>
        <w:spacing w:after="0" w:line="240" w:lineRule="auto"/>
      </w:pPr>
      <w:r>
        <w:separator/>
      </w:r>
    </w:p>
  </w:endnote>
  <w:endnote w:type="continuationSeparator" w:id="0">
    <w:p w14:paraId="084DBCA6" w14:textId="77777777" w:rsidR="00452F4B" w:rsidRDefault="00452F4B" w:rsidP="00E82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3B1E0" w14:textId="77777777" w:rsidR="00452F4B" w:rsidRDefault="00452F4B" w:rsidP="00E827D4">
      <w:pPr>
        <w:spacing w:after="0" w:line="240" w:lineRule="auto"/>
      </w:pPr>
      <w:r>
        <w:separator/>
      </w:r>
    </w:p>
  </w:footnote>
  <w:footnote w:type="continuationSeparator" w:id="0">
    <w:p w14:paraId="6F08B822" w14:textId="77777777" w:rsidR="00452F4B" w:rsidRDefault="00452F4B" w:rsidP="00E82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A67D" w14:textId="1C509918" w:rsidR="00E827D4" w:rsidRPr="00605D84" w:rsidRDefault="00E827D4">
    <w:pPr>
      <w:pStyle w:val="Encabezado"/>
      <w:rPr>
        <w:rFonts w:ascii="Arial" w:hAnsi="Arial" w:cs="Arial"/>
        <w:lang w:val="es-AR"/>
      </w:rPr>
    </w:pPr>
    <w:r w:rsidRPr="00605D84">
      <w:rPr>
        <w:rFonts w:ascii="Arial" w:hAnsi="Arial" w:cs="Arial"/>
        <w:lang w:val="es-ES"/>
      </w:rPr>
      <w:t>Integrantes</w:t>
    </w:r>
    <w:r w:rsidRPr="00605D84">
      <w:rPr>
        <w:rFonts w:ascii="Arial" w:hAnsi="Arial" w:cs="Arial"/>
        <w:lang w:val="es-AR"/>
      </w:rPr>
      <w:t xml:space="preserve">: </w:t>
    </w:r>
    <w:proofErr w:type="spellStart"/>
    <w:r w:rsidRPr="00605D84">
      <w:rPr>
        <w:rFonts w:ascii="Arial" w:hAnsi="Arial" w:cs="Arial"/>
        <w:lang w:val="es-AR"/>
      </w:rPr>
      <w:t>F</w:t>
    </w:r>
    <w:r w:rsidRPr="00605D84">
      <w:rPr>
        <w:rFonts w:ascii="Arial" w:hAnsi="Arial" w:cs="Arial"/>
        <w:lang w:val="es-AR"/>
      </w:rPr>
      <w:t>ornari</w:t>
    </w:r>
    <w:proofErr w:type="spellEnd"/>
    <w:r w:rsidRPr="00605D84">
      <w:rPr>
        <w:rFonts w:ascii="Arial" w:hAnsi="Arial" w:cs="Arial"/>
        <w:lang w:val="es-AR"/>
      </w:rPr>
      <w:t xml:space="preserve">, </w:t>
    </w:r>
    <w:proofErr w:type="spellStart"/>
    <w:r w:rsidRPr="00605D84">
      <w:rPr>
        <w:rFonts w:ascii="Arial" w:hAnsi="Arial" w:cs="Arial"/>
        <w:lang w:val="es-AR"/>
      </w:rPr>
      <w:t>P</w:t>
    </w:r>
    <w:r w:rsidRPr="00605D84">
      <w:rPr>
        <w:rFonts w:ascii="Arial" w:hAnsi="Arial" w:cs="Arial"/>
        <w:lang w:val="es-AR"/>
      </w:rPr>
      <w:t>luda</w:t>
    </w:r>
    <w:proofErr w:type="spellEnd"/>
    <w:r w:rsidRPr="00605D84">
      <w:rPr>
        <w:rFonts w:ascii="Arial" w:hAnsi="Arial" w:cs="Arial"/>
        <w:lang w:val="es-AR"/>
      </w:rPr>
      <w:t xml:space="preserve">, </w:t>
    </w:r>
    <w:r w:rsidRPr="00605D84">
      <w:rPr>
        <w:rFonts w:ascii="Arial" w:hAnsi="Arial" w:cs="Arial"/>
        <w:lang w:val="es-AR"/>
      </w:rPr>
      <w:t>S</w:t>
    </w:r>
    <w:r w:rsidRPr="00605D84">
      <w:rPr>
        <w:rFonts w:ascii="Arial" w:hAnsi="Arial" w:cs="Arial"/>
        <w:lang w:val="es-AR"/>
      </w:rPr>
      <w:t xml:space="preserve">torani, </w:t>
    </w:r>
    <w:proofErr w:type="spellStart"/>
    <w:r w:rsidRPr="00605D84">
      <w:rPr>
        <w:rFonts w:ascii="Arial" w:hAnsi="Arial" w:cs="Arial"/>
        <w:lang w:val="es-AR"/>
      </w:rPr>
      <w:t>Marinoni</w:t>
    </w:r>
    <w:proofErr w:type="spellEnd"/>
    <w:r w:rsidRPr="00605D84">
      <w:rPr>
        <w:rFonts w:ascii="Arial" w:hAnsi="Arial" w:cs="Arial"/>
        <w:lang w:val="es-AR"/>
      </w:rPr>
      <w:t xml:space="preserve">, </w:t>
    </w:r>
    <w:proofErr w:type="spellStart"/>
    <w:r w:rsidRPr="00605D84">
      <w:rPr>
        <w:rFonts w:ascii="Arial" w:hAnsi="Arial" w:cs="Arial"/>
        <w:lang w:val="es-AR"/>
      </w:rPr>
      <w:t>Gareis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342488">
    <w:abstractNumId w:val="8"/>
  </w:num>
  <w:num w:numId="2" w16cid:durableId="1275986037">
    <w:abstractNumId w:val="6"/>
  </w:num>
  <w:num w:numId="3" w16cid:durableId="1931809716">
    <w:abstractNumId w:val="5"/>
  </w:num>
  <w:num w:numId="4" w16cid:durableId="2057730585">
    <w:abstractNumId w:val="4"/>
  </w:num>
  <w:num w:numId="5" w16cid:durableId="1520311450">
    <w:abstractNumId w:val="7"/>
  </w:num>
  <w:num w:numId="6" w16cid:durableId="984701840">
    <w:abstractNumId w:val="3"/>
  </w:num>
  <w:num w:numId="7" w16cid:durableId="1188181436">
    <w:abstractNumId w:val="2"/>
  </w:num>
  <w:num w:numId="8" w16cid:durableId="345450045">
    <w:abstractNumId w:val="1"/>
  </w:num>
  <w:num w:numId="9" w16cid:durableId="199841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F4B"/>
    <w:rsid w:val="00605D84"/>
    <w:rsid w:val="007C596B"/>
    <w:rsid w:val="00AA1D8D"/>
    <w:rsid w:val="00B47730"/>
    <w:rsid w:val="00CB0664"/>
    <w:rsid w:val="00E827D4"/>
    <w:rsid w:val="00F94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8C5F88"/>
  <w14:defaultImageDpi w14:val="300"/>
  <w15:docId w15:val="{261A8CA2-ACCE-464F-9BE2-EADEF321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273</Words>
  <Characters>1506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ANDRES GAREIS</cp:lastModifiedBy>
  <cp:revision>2</cp:revision>
  <dcterms:created xsi:type="dcterms:W3CDTF">2013-12-23T23:15:00Z</dcterms:created>
  <dcterms:modified xsi:type="dcterms:W3CDTF">2025-05-19T20:34:00Z</dcterms:modified>
  <cp:category/>
</cp:coreProperties>
</file>