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Explication de l’organisation des dossiers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0-Tuto</w:t>
      </w:r>
    </w:p>
    <w:p w:rsidR="00000000" w:rsidDel="00000000" w:rsidP="00000000" w:rsidRDefault="00000000" w:rsidRPr="00000000" w14:paraId="00000004">
      <w:pPr>
        <w:rPr/>
      </w:pPr>
      <w:r w:rsidDel="00000000" w:rsidR="00000000" w:rsidRPr="00000000">
        <w:rPr>
          <w:rtl w:val="0"/>
        </w:rPr>
        <w:t xml:space="preserve">Contient :</w:t>
      </w:r>
    </w:p>
    <w:p w:rsidR="00000000" w:rsidDel="00000000" w:rsidP="00000000" w:rsidRDefault="00000000" w:rsidRPr="00000000" w14:paraId="00000005">
      <w:pPr>
        <w:numPr>
          <w:ilvl w:val="0"/>
          <w:numId w:val="4"/>
        </w:numPr>
        <w:ind w:left="720" w:hanging="360"/>
        <w:rPr>
          <w:highlight w:val="yellow"/>
        </w:rPr>
      </w:pPr>
      <w:r w:rsidDel="00000000" w:rsidR="00000000" w:rsidRPr="00000000">
        <w:rPr>
          <w:highlight w:val="yellow"/>
          <w:rtl w:val="0"/>
        </w:rPr>
        <w:t xml:space="preserve">un tuto sur l’installation et le test des différents composants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1-Partie Théorique</w:t>
      </w:r>
    </w:p>
    <w:p w:rsidR="00000000" w:rsidDel="00000000" w:rsidP="00000000" w:rsidRDefault="00000000" w:rsidRPr="00000000" w14:paraId="00000008">
      <w:pPr>
        <w:rPr/>
      </w:pPr>
      <w:r w:rsidDel="00000000" w:rsidR="00000000" w:rsidRPr="00000000">
        <w:rPr>
          <w:rtl w:val="0"/>
        </w:rPr>
        <w:t xml:space="preserve">Contient:</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un rapport “Rapport technique projet” écrit tout au long du projet sur ce que nous avons fait et les problèmes rencontrés </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un dossier “1-CAO S79P 2023” avec tous les fichiers de CAO du système (pièces, nomenclatures, …)</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un dossier “2-Datasheet” contenant les fiches techniques des composants utilisés pour la maquette</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un dossier “3-schéma” contenant les schémas électrique de la maquette, ainsi que le diagramme fonctionnel</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2-Partie Expérimentale</w:t>
      </w:r>
    </w:p>
    <w:p w:rsidR="00000000" w:rsidDel="00000000" w:rsidP="00000000" w:rsidRDefault="00000000" w:rsidRPr="00000000" w14:paraId="0000000F">
      <w:pPr>
        <w:ind w:left="0" w:firstLine="0"/>
        <w:rPr/>
      </w:pPr>
      <w:r w:rsidDel="00000000" w:rsidR="00000000" w:rsidRPr="00000000">
        <w:rPr>
          <w:rtl w:val="0"/>
        </w:rPr>
        <w:t xml:space="preserve">Contient:</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un dossier “1-Analyse_parametre” contenant des test ou nous avons vérifié différents paramètre (temps d'échantillonnage(Te), délai(tps), Correcteur PI(PI)</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un dossier “2-Oscillation libre” contenant les valeurs expérimentales en oscillation libre pour différentes ouverture du gallet d’amortissement</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un dossier “3-Oscillation forcée” contenant les valeurs expérimentales en oscillation forcée pour différentes vitesse du moteur</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3-Post Traitement</w:t>
      </w:r>
    </w:p>
    <w:p w:rsidR="00000000" w:rsidDel="00000000" w:rsidP="00000000" w:rsidRDefault="00000000" w:rsidRPr="00000000" w14:paraId="00000015">
      <w:pPr>
        <w:rPr/>
      </w:pPr>
      <w:r w:rsidDel="00000000" w:rsidR="00000000" w:rsidRPr="00000000">
        <w:rPr>
          <w:rtl w:val="0"/>
        </w:rPr>
        <w:t xml:space="preserve">Contient: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un rapport sur notre étude de post traitement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4-Code</w:t>
      </w:r>
    </w:p>
    <w:p w:rsidR="00000000" w:rsidDel="00000000" w:rsidP="00000000" w:rsidRDefault="00000000" w:rsidRPr="00000000" w14:paraId="00000019">
      <w:pPr>
        <w:ind w:left="0" w:firstLine="0"/>
        <w:rPr/>
      </w:pPr>
      <w:r w:rsidDel="00000000" w:rsidR="00000000" w:rsidRPr="00000000">
        <w:rPr>
          <w:rtl w:val="0"/>
        </w:rPr>
        <w:t xml:space="preserve">Contient</w:t>
      </w:r>
      <w:r w:rsidDel="00000000" w:rsidR="00000000" w:rsidRPr="00000000">
        <w:rPr>
          <w:rtl w:val="0"/>
        </w:rPr>
        <w:t xml:space="preserv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un dossier “1-IHM” contenant le fichier exécutable de l’ihm et le fichier python de l’ihm</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un dossier ”2-code_arduino” contenant le code arduino en Boucle Ouverte “BO” à utiliser comme base si vous rencontrez des problème de fonctionnement sur la maquette, un code arduino en Boucle Fermée “BF” qui est le code final de fonctionnement de la maquette et 2 code “test_mot” pour tester les différents composants de la maquette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