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Final Matematica Basica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Escribir la definicion de razonamiento y de razonamiento valido.(U1)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Escribir la definicion de matriz booleana asociada a una relacion binaria(U3)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Dadas las relaciones R y S definidas entre A y B, explicar como analiza matricialmente que S C R. (subconjunto)(U3)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Dar las definicion de clase de equivalencia y enunciar sus propiedades.(U4)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Definir Relacion de congruencia modulo n.(U4)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Caracterizar una relacion de orden por medio de su matriz booleana asociada.(u5)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Demostrar el siguiente teorema: El  numero total de permutaciones distintas de n elementos es Pn=n!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Respuestas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 Un razonamiento es una sucesion finita de proposiciones o enunciados, de las cuales la ultima se considera la conclusion (tesis) y el resto las premisas (hipotesis).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razonamiento {P1,P2,…,Pn} |-- C es valido si la verdad de las premisas o hipotesis implican la verdad de la conclusion o tesis, esto es, un razonamiento es valido si y solo si nunca se presenta el caso de las premisas o hipotesis verdaderas y conclusion o tesis falsa. Por lo tanto, un razonamiento es valido si el condicional (P1 ^ P2 ^ … ^ Pn) → C es tautologico.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Dada una relacion binaria R (subconjunto) AxB, con A={a1, a2,… , am} y B={b1, b2, …, bn} le asociamos una matriz booleana Mr= (rij)mxn definida por: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rij=</w:t>
        <w:tab/>
        <w:t xml:space="preserve">{1 si (ai,bj) e(pertenece) 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{0 si (ai, bj) e(pertenece)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Si la relación S está incluida en la relación R entonces si la matriz MS tiene 1 en el lugar ij, la matriz MR tiene también un 1 en ese lugar.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Sea R una relación de equivalencia definida en el conjunto A y sea x ∈ A, llamaremos clase de equivalencia del elemento x, al conjunto formado por todos los elementos de A que están en relación de equivalencia con x, es decir: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x̄= { y ∈A : (x, y) ∈ R 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R  A x Aes relación de equivalencia, entonces las clases de equivalencia verifican las siguientes propiedades: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Son subconjuntos de 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 Son no vacías.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 Son disjuntas dos a 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 La unión de todas es el conjunto 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5) Dos clases de equivalencia son iguales sii sus elementos son equivalentes.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54609</wp:posOffset>
            </wp:positionH>
            <wp:positionV relativeFrom="paragraph">
              <wp:posOffset>635</wp:posOffset>
            </wp:positionV>
            <wp:extent cx="6010910" cy="1238250"/>
            <wp:effectExtent b="0" l="0" r="0" t="0"/>
            <wp:wrapSquare wrapText="bothSides" distB="0" distT="0" distL="0" distR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11747</wp:posOffset>
            </wp:positionH>
            <wp:positionV relativeFrom="paragraph">
              <wp:posOffset>635</wp:posOffset>
            </wp:positionV>
            <wp:extent cx="6096635" cy="2324100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126364</wp:posOffset>
            </wp:positionH>
            <wp:positionV relativeFrom="paragraph">
              <wp:posOffset>57150</wp:posOffset>
            </wp:positionV>
            <wp:extent cx="5029835" cy="1104900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 Matematica Basica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1) Escribir la definicion de razonamiento valido.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2) Enunciar el metodo por reduccion al absurdo para demostrar la validez de un razonamiento.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3) Definir funcion entre los conjuntos A y B.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4) Caracterizar una relacion de equivalenca por medio de su matriz booleana asociada.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5) Enunciar dos procedimientos que permiten determinar si dos numeros son congruentes modulo 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6) Escribir las propiedades de las clases de equivalencia.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7) Demostrar: a) El numero total de permutaciones distintas de n elementos es Pn= n!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b) El numero total de variaciones distintas con repeticion de orden n de m elementos </w:t>
        <w:tab/>
        <w:tab/>
        <w:t xml:space="preserve">esta dado por V*m,n= m^n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Respuestas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1) El razonamiento {P1,P2,…,Pn} |-- C es valido si la verdad de las premisas o hipotesis implican la verdad de la conclusion o tesis, esto es, un razonamiento es valido si y solo si nunca se presenta el caso de las premisas o hipotesis verdaderas y conclusion o tesis falsa. Por lo tanto, un razonamiento es valido si el condicional (P1 ^ P2 ^ … ^ Pn) → C es tautologico.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3815080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5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91452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64769</wp:posOffset>
            </wp:positionV>
            <wp:extent cx="6096635" cy="23241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6) Si R  A x A es relación de equivalencia, entonces las clases de equivalencia verifican las siguientes propiedades: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-220978</wp:posOffset>
            </wp:positionV>
            <wp:extent cx="6120130" cy="1272540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1) Son subconjuntos de 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2) Son no vacías.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3) Son disjuntas dos a dos.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4) La unión de todas es el conjunto 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5) Dos clases de equivalencia son iguales sii sus elementos son equivalentes.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7a)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7b)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545147</wp:posOffset>
            </wp:positionH>
            <wp:positionV relativeFrom="paragraph">
              <wp:posOffset>635</wp:posOffset>
            </wp:positionV>
            <wp:extent cx="5029835" cy="1104900"/>
            <wp:effectExtent b="0" l="0" r="0" t="0"/>
            <wp:wrapSquare wrapText="bothSides" distB="0" distT="0" distL="0" distR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92862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8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