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Pipeline Data Gaps</w:t>
      </w:r>
    </w:p>
    <w:p>
      <w:r>
        <w:rPr>
          <w:b/>
        </w:rPr>
        <w:t>Qué partes del reporte no podemos reproducir hoy y por qué.</w:t>
      </w:r>
      <w:r>
        <w:t xml:space="preserve"> La sección está bloqueada cuando los Excels legacy consumen una fuente externa que aún no replicamos en Supabase / SQL Server. Este documento enumera cada gap, qué dato falta, de dónde viene en el flujo Excel actual, y qué hace falta para desbloquear.</w:t>
      </w:r>
    </w:p>
    <w:p>
      <w:r>
        <w:t>Última auditoría: 2026-05-27.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Resumen ejecutivo</w:t>
      </w:r>
    </w:p>
    <w:p>
      <w:r>
        <w:t xml:space="preserve">Tenemos sync establecido para </w:t>
      </w:r>
      <w:r>
        <w:rPr>
          <w:b/>
        </w:rPr>
        <w:t>6 fuentes</w:t>
      </w:r>
      <w:r>
        <w:t>:</w:t>
      </w:r>
    </w:p>
    <w:p>
      <w:pPr>
        <w:pStyle w:val="ListBullet"/>
        <w:ind w:left="360"/>
      </w:pPr>
      <w:r>
        <w:rPr>
          <w:b/>
        </w:rPr>
        <w:t>CHIST</w:t>
      </w:r>
      <w:r>
        <w:t xml:space="preserve"> (</w:t>
      </w:r>
      <w:r>
        <w:rPr>
          <w:rFonts w:ascii="Consolas" w:hAnsi="Consolas"/>
          <w:color w:val="C7254E"/>
          <w:sz w:val="20"/>
        </w:rPr>
        <w:t>historial_carteras</w:t>
      </w:r>
      <w:r>
        <w:t xml:space="preserve">, </w:t>
      </w:r>
      <w:r>
        <w:rPr>
          <w:rFonts w:ascii="Consolas" w:hAnsi="Consolas"/>
          <w:color w:val="C7254E"/>
          <w:sz w:val="20"/>
        </w:rPr>
        <w:t>historial_carteras_full</w:t>
      </w:r>
      <w:r>
        <w:t xml:space="preserve">) — SQL Server </w:t>
      </w:r>
      <w:r>
        <w:rPr>
          <w:rFonts w:ascii="Consolas" w:hAnsi="Consolas"/>
          <w:color w:val="C7254E"/>
          <w:sz w:val="20"/>
        </w:rPr>
        <w:t>Inteligencia_Mercado</w:t>
      </w:r>
    </w:p>
    <w:p>
      <w:pPr>
        <w:pStyle w:val="ListBullet"/>
        <w:ind w:left="360"/>
      </w:pPr>
      <w:r>
        <w:rPr>
          <w:b/>
        </w:rPr>
        <w:t>SP XML</w:t>
      </w:r>
      <w:r>
        <w:t xml:space="preserve"> (</w:t>
      </w:r>
      <w:r>
        <w:rPr>
          <w:rFonts w:ascii="Consolas" w:hAnsi="Consolas"/>
          <w:color w:val="C7254E"/>
          <w:sz w:val="20"/>
        </w:rPr>
        <w:t>AFP_CL_SP_*</w:t>
      </w:r>
      <w:r>
        <w:t xml:space="preserve"> en SQL Server → </w:t>
      </w:r>
      <w:r>
        <w:rPr>
          <w:rFonts w:ascii="Consolas" w:hAnsi="Consolas"/>
          <w:color w:val="C7254E"/>
          <w:sz w:val="20"/>
        </w:rPr>
        <w:t>sp_*</w:t>
      </w:r>
      <w:r>
        <w:t xml:space="preserve"> en Supabase) — </w:t>
      </w:r>
      <w:r>
        <w:rPr>
          <w:rFonts w:ascii="Consolas" w:hAnsi="Consolas"/>
          <w:color w:val="C7254E"/>
          <w:sz w:val="20"/>
        </w:rPr>
        <w:t>spensiones.cl</w:t>
      </w:r>
      <w:r>
        <w:t xml:space="preserve"> directo. </w:t>
      </w:r>
      <w:r>
        <w:rPr>
          <w:b/>
        </w:rPr>
        <w:t>Arquitectura cambiada 2026-05-27</w:t>
      </w:r>
      <w:r>
        <w:t>: scrape ahora persiste a SQL Server como source of truth, Supabase mantiene mirror con ventana ≥2025-01.</w:t>
      </w:r>
    </w:p>
    <w:p>
      <w:pPr>
        <w:pStyle w:val="ListBullet"/>
        <w:ind w:left="360"/>
      </w:pPr>
      <w:r>
        <w:rPr>
          <w:b/>
        </w:rPr>
        <w:t>SP Cotizantes</w:t>
      </w:r>
      <w:r>
        <w:t xml:space="preserve"> (</w:t>
      </w:r>
      <w:r>
        <w:rPr>
          <w:rFonts w:ascii="Consolas" w:hAnsi="Consolas"/>
          <w:color w:val="C7254E"/>
          <w:sz w:val="20"/>
        </w:rPr>
        <w:t>AFP_CL_SP_Cotizantes</w:t>
      </w:r>
      <w:r>
        <w:t xml:space="preserve"> en SQL Server → </w:t>
      </w:r>
      <w:r>
        <w:rPr>
          <w:rFonts w:ascii="Consolas" w:hAnsi="Consolas"/>
          <w:color w:val="C7254E"/>
          <w:sz w:val="20"/>
        </w:rPr>
        <w:t>cotizantes_afp</w:t>
      </w:r>
      <w:r>
        <w:t xml:space="preserve"> en Supabase) — scrape de </w:t>
      </w:r>
      <w:r>
        <w:rPr>
          <w:rFonts w:ascii="Consolas" w:hAnsi="Consolas"/>
          <w:color w:val="C7254E"/>
          <w:sz w:val="20"/>
        </w:rPr>
        <w:t>spensiones.cl</w:t>
      </w:r>
      <w:r>
        <w:t xml:space="preserve"> (cuadro Cotizaciones y Cotizantes / AFP)</w:t>
      </w:r>
    </w:p>
    <w:p>
      <w:pPr>
        <w:pStyle w:val="ListBullet"/>
        <w:ind w:left="360"/>
      </w:pPr>
      <w:r>
        <w:rPr>
          <w:b/>
        </w:rPr>
        <w:t>Valores Cuota / Patrimonio</w:t>
      </w:r>
      <w:r>
        <w:t xml:space="preserve"> — SQL Server </w:t>
      </w:r>
      <w:r>
        <w:rPr>
          <w:rFonts w:ascii="Consolas" w:hAnsi="Consolas"/>
          <w:color w:val="C7254E"/>
          <w:sz w:val="20"/>
        </w:rPr>
        <w:t>Inteligencia_Mercado.TBL_SPE_VALORESCUOTAPATRIMONIO</w:t>
      </w:r>
      <w:r>
        <w:t xml:space="preserve"> (granularidad diaria — los CSVs A–E del Excel </w:t>
      </w:r>
      <w:r>
        <w:rPr>
          <w:rFonts w:ascii="Consolas" w:hAnsi="Consolas"/>
          <w:color w:val="C7254E"/>
          <w:sz w:val="20"/>
        </w:rPr>
        <w:t>08_Valores_Cuota</w:t>
      </w:r>
      <w:r>
        <w:t xml:space="preserve"> replican esta data, </w:t>
      </w:r>
      <w:r>
        <w:rPr>
          <w:b/>
        </w:rPr>
        <w:t>no son una fuente nueva</w:t>
      </w:r>
      <w:r>
        <w:t>)</w:t>
      </w:r>
    </w:p>
    <w:p>
      <w:pPr>
        <w:pStyle w:val="ListBullet"/>
        <w:ind w:left="360"/>
      </w:pPr>
      <w:r>
        <w:rPr>
          <w:b/>
        </w:rPr>
        <w:t>FX series + Bloomberg benchmarks</w:t>
      </w:r>
      <w:r>
        <w:t xml:space="preserve"> (</w:t>
      </w:r>
      <w:r>
        <w:rPr>
          <w:rFonts w:ascii="Consolas" w:hAnsi="Consolas"/>
          <w:color w:val="C7254E"/>
          <w:sz w:val="20"/>
        </w:rPr>
        <w:t>tipo_cambio</w:t>
      </w:r>
      <w:r>
        <w:t xml:space="preserve">) — SQL Server </w:t>
      </w:r>
      <w:r>
        <w:rPr>
          <w:rFonts w:ascii="Consolas" w:hAnsi="Consolas"/>
          <w:color w:val="C7254E"/>
          <w:sz w:val="20"/>
        </w:rPr>
        <w:t>DW_MONEDA.TBL_RENTABILIDADES_DW</w:t>
      </w:r>
      <w:r>
        <w:t>. 1,078 instrumentcode distintos: FX (CLFXDOOB_sindesf, USDCLP Curncy, GBPUSD, etc.), índices Bloomberg (IPSA, IGPA, MERVAL, MXMX, GDDUWI, LF98TRUU, etc.), commodities (GOLDS), benchmarks de fondos chilenos.</w:t>
      </w:r>
    </w:p>
    <w:p>
      <w:pPr>
        <w:pStyle w:val="ListBullet"/>
        <w:ind w:left="360"/>
      </w:pPr>
      <w:r>
        <w:rPr>
          <w:b/>
        </w:rPr>
        <w:t>`Inteligencia_Producto_Dev`</w:t>
      </w:r>
      <w:r>
        <w:t xml:space="preserve"> — SQL Server (BD_GICS, BD_Instrumentos, BD_Benchmarks, BD_Funds, HOMOL_</w:t>
      </w:r>
      <w:r>
        <w:rPr>
          <w:i/>
        </w:rPr>
        <w:t>, extract.IPA, process.CUBO_Final, JPM CEMBI + RISK America metrics) — 109K rows en 12 tablas `dim_ipd_</w:t>
      </w:r>
      <w:r>
        <w:rPr>
          <w:rFonts w:ascii="Consolas" w:hAnsi="Consolas"/>
          <w:color w:val="C7254E"/>
          <w:sz w:val="20"/>
        </w:rPr>
        <w:t xml:space="preserve"> + </w:t>
      </w:r>
      <w:r>
        <w:t>ipd_*`</w:t>
      </w:r>
    </w:p>
    <w:p>
      <w:r>
        <w:rPr>
          <w:b/>
        </w:rPr>
        <w:t>Master dim AFP_CL_DIM_Family_Comp</w:t>
      </w:r>
      <w:r>
        <w:t xml:space="preserve"> (115 filas, 104 Peer Group + 11 Moneda) creada en SQL Server 2026-05-27, cerrando el split-brain con Supabase. Source of truth ahora vive en SQL; Supabase se sincroniza via </w:t>
      </w:r>
      <w:r>
        <w:rPr>
          <w:rFonts w:ascii="Consolas" w:hAnsi="Consolas"/>
          <w:color w:val="C7254E"/>
          <w:sz w:val="20"/>
        </w:rPr>
        <w:t>sync_dim_bd_family_comp</w:t>
      </w:r>
      <w:r>
        <w:t xml:space="preserve"> re-habilitado.</w:t>
      </w:r>
    </w:p>
    <w:p>
      <w:r>
        <w:t xml:space="preserve">Quedan </w:t>
      </w:r>
      <w:r>
        <w:rPr>
          <w:b/>
        </w:rPr>
        <w:t>3 bloqueadores externos</w:t>
      </w:r>
      <w:r>
        <w:t xml:space="preserve"> que afectan parcialmente las secciones 05, 06, 07, 08, 09, 10.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Fuentes externas que NO están en nuestro pipeline</w:t>
      </w:r>
    </w:p>
    <w:p>
      <w:pPr>
        <w:pStyle w:val="Heading3"/>
      </w:pPr>
      <w:r>
        <w:t>2.1 Bloomberg Terminal (BDP / BDH / BDS) — scope reducido</w:t>
      </w:r>
    </w:p>
    <w:p>
      <w:r>
        <w:rPr>
          <w:b/>
        </w:rPr>
        <w:t>Qué es:</w:t>
      </w:r>
      <w:r>
        <w:t xml:space="preserve"> Bloomberg Desktop API functions invocadas desde fórmulas de celda en los Excels (</w:t>
      </w:r>
      <w:r>
        <w:rPr>
          <w:rFonts w:ascii="Consolas" w:hAnsi="Consolas"/>
          <w:color w:val="C7254E"/>
          <w:sz w:val="20"/>
        </w:rPr>
        <w:t>=BDP("AERO US Equity","PX_LAST")</w:t>
      </w:r>
      <w:r>
        <w:t xml:space="preserve">, </w:t>
      </w:r>
      <w:r>
        <w:rPr>
          <w:rFonts w:ascii="Consolas" w:hAnsi="Consolas"/>
          <w:color w:val="C7254E"/>
          <w:sz w:val="20"/>
        </w:rPr>
        <w:t>=BDH(...)</w:t>
      </w:r>
      <w:r>
        <w:t xml:space="preserve">, </w:t>
      </w:r>
      <w:r>
        <w:rPr>
          <w:rFonts w:ascii="Consolas" w:hAnsi="Consolas"/>
          <w:color w:val="C7254E"/>
          <w:sz w:val="20"/>
        </w:rPr>
        <w:t>=BDS(...)</w:t>
      </w:r>
      <w:r>
        <w:t>).</w:t>
      </w:r>
    </w:p>
    <w:p>
      <w:r>
        <w:rPr>
          <w:b/>
        </w:rPr>
        <w:t>Confirmado por scan binario en:</w:t>
      </w:r>
      <w:r>
        <w:t xml:space="preserve"> </w:t>
      </w:r>
      <w:r>
        <w:rPr>
          <w:rFonts w:ascii="Consolas" w:hAnsi="Consolas"/>
          <w:color w:val="C7254E"/>
          <w:sz w:val="20"/>
        </w:rPr>
        <w:t>15_Distributors</w:t>
      </w:r>
      <w:r>
        <w:t xml:space="preserve">, </w:t>
      </w:r>
      <w:r>
        <w:rPr>
          <w:rFonts w:ascii="Consolas" w:hAnsi="Consolas"/>
          <w:color w:val="C7254E"/>
          <w:sz w:val="20"/>
        </w:rPr>
        <w:t>16_Managers</w:t>
      </w:r>
      <w:r>
        <w:t xml:space="preserve">, </w:t>
      </w:r>
      <w:r>
        <w:rPr>
          <w:rFonts w:ascii="Consolas" w:hAnsi="Consolas"/>
          <w:color w:val="C7254E"/>
          <w:sz w:val="20"/>
        </w:rPr>
        <w:t>19_Top_Purchases_Sales</w:t>
      </w:r>
      <w:r>
        <w:t xml:space="preserve">, </w:t>
      </w:r>
      <w:r>
        <w:rPr>
          <w:rFonts w:ascii="Consolas" w:hAnsi="Consolas"/>
          <w:color w:val="C7254E"/>
          <w:sz w:val="20"/>
        </w:rPr>
        <w:t>20_Cartera_Acc_Chilenas</w:t>
      </w:r>
      <w:r>
        <w:t xml:space="preserve">, </w:t>
      </w:r>
      <w:r>
        <w:rPr>
          <w:rFonts w:ascii="Consolas" w:hAnsi="Consolas"/>
          <w:color w:val="C7254E"/>
          <w:sz w:val="20"/>
        </w:rPr>
        <w:t>21_Inteligencia_de_Mercado_PDF</w:t>
      </w:r>
      <w:r>
        <w:t xml:space="preserve">, </w:t>
      </w:r>
      <w:r>
        <w:rPr>
          <w:rFonts w:ascii="Consolas" w:hAnsi="Consolas"/>
          <w:color w:val="C7254E"/>
          <w:sz w:val="20"/>
        </w:rPr>
        <w:t>13_Returns_y_Flows</w:t>
      </w:r>
      <w:r>
        <w:t xml:space="preserve">, </w:t>
      </w:r>
      <w:r>
        <w:rPr>
          <w:rFonts w:ascii="Consolas" w:hAnsi="Consolas"/>
          <w:color w:val="C7254E"/>
          <w:sz w:val="20"/>
        </w:rPr>
        <w:t>05_CintaPrecios</w:t>
      </w:r>
      <w:r>
        <w:t>.</w:t>
      </w:r>
    </w:p>
    <w:p>
      <w:r>
        <w:rPr>
          <w:b/>
        </w:rPr>
        <w:t>✅ Cubierto via `Inteligencia_Producto_Dev`: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Dato que se creía Bloomberg-only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Resuelto por</w:t>
            </w:r>
          </w:p>
        </w:tc>
      </w:tr>
      <w:tr>
        <w:tc>
          <w:tcPr>
            <w:tcW w:type="dxa" w:w="4320"/>
          </w:tcPr>
          <w:p>
            <w:r/>
            <w:r>
              <w:t>GICS sectors de stocks chilenos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dim_ipd_instrumentos.sector_gics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dim_ipd_gics</w:t>
            </w:r>
          </w:p>
        </w:tc>
      </w:tr>
      <w:tr>
        <w:tc>
          <w:tcPr>
            <w:tcW w:type="dxa" w:w="4320"/>
          </w:tcPr>
          <w:p>
            <w:r/>
            <w:r>
              <w:t>Cinta de Precios de fondos Moneda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ipd_positions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20"/>
              </w:rPr>
              <w:t>extract.IPA</w:t>
            </w:r>
            <w:r>
              <w:t xml:space="preserve">) + </w:t>
            </w:r>
            <w:r>
              <w:rPr>
                <w:rFonts w:ascii="Consolas" w:hAnsi="Consolas"/>
                <w:color w:val="C7254E"/>
                <w:sz w:val="20"/>
              </w:rPr>
              <w:t>ipd_cubo_final</w:t>
            </w:r>
          </w:p>
        </w:tc>
      </w:tr>
      <w:tr>
        <w:tc>
          <w:tcPr>
            <w:tcW w:type="dxa" w:w="4320"/>
          </w:tcPr>
          <w:p>
            <w:r/>
            <w:r>
              <w:t>Identificadores cross-source (RUN ticker, ISIN, BBG)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dim_ipd_instrumentos</w:t>
            </w:r>
            <w:r>
              <w:t xml:space="preserve"> (2,341 instrumentos listados)</w:t>
            </w:r>
          </w:p>
        </w:tc>
      </w:tr>
      <w:tr>
        <w:tc>
          <w:tcPr>
            <w:tcW w:type="dxa" w:w="4320"/>
          </w:tcPr>
          <w:p>
            <w:r/>
            <w:r>
              <w:t>Catálogo de benchmarks (MSCI Latam, JPM CEMBI, etc.)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dim_ipd_benchmarks</w:t>
            </w:r>
            <w:r>
              <w:t xml:space="preserve"> (32) + </w:t>
            </w:r>
            <w:r>
              <w:rPr>
                <w:rFonts w:ascii="Consolas" w:hAnsi="Consolas"/>
                <w:color w:val="C7254E"/>
                <w:sz w:val="20"/>
              </w:rPr>
              <w:t>ipd_jpm_cembi_metrics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ipd_risk_america_metrics</w:t>
            </w:r>
          </w:p>
        </w:tc>
      </w:tr>
    </w:tbl>
    <w:p/>
    <w:p>
      <w:r>
        <w:rPr>
          <w:b/>
        </w:rPr>
        <w:t>❌ Aún pendiente de Bloomberg directo: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Excel sheet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dato falta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20_Cartera_Acc_Chilenas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Mkt_Cap</w:t>
            </w:r>
          </w:p>
        </w:tc>
        <w:tc>
          <w:tcPr>
            <w:tcW w:type="dxa" w:w="4320"/>
          </w:tcPr>
          <w:p>
            <w:r/>
            <w:r>
              <w:t xml:space="preserve">Market cap de </w:t>
            </w:r>
            <w:r>
              <w:rPr>
                <w:b/>
              </w:rPr>
              <w:t>ADRs / listings extranjeros</w:t>
            </w:r>
            <w:r>
              <w:t xml:space="preserve"> chilenos (</w:t>
            </w:r>
            <w:r>
              <w:rPr>
                <w:rFonts w:ascii="Consolas" w:hAnsi="Consolas"/>
                <w:color w:val="C7254E"/>
                <w:sz w:val="20"/>
              </w:rPr>
              <w:t>AERO US Equity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BVN US Equity</w:t>
            </w:r>
            <w:r>
              <w:t>, ~50 tickers). Necesario para free-float ajustado del benchmark IPSA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20_Cartera_Acc_Chilenas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IPSA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Composición del índice IPSA</w:t>
            </w:r>
            <w:r>
              <w:t xml:space="preserve"> (constituyentes + ponderaciones), mensual — vía Bloomberg </w:t>
            </w:r>
            <w:r>
              <w:rPr>
                <w:rFonts w:ascii="Consolas" w:hAnsi="Consolas"/>
                <w:color w:val="C7254E"/>
                <w:sz w:val="20"/>
              </w:rPr>
              <w:t>BDS("IPSA Index","INDX_MWEIGHT")</w:t>
            </w:r>
            <w:r>
              <w:t xml:space="preserve">. Confirmado 2026-05-22 que NO está en </w:t>
            </w:r>
            <w:r>
              <w:rPr>
                <w:rFonts w:ascii="Consolas" w:hAnsi="Consolas"/>
                <w:color w:val="C7254E"/>
                <w:sz w:val="20"/>
              </w:rPr>
              <w:t>Inteligencia_Producto_Dev</w:t>
            </w:r>
            <w:r>
              <w:t xml:space="preserve"> (107 tablas revisadas; el schema </w:t>
            </w:r>
            <w:r>
              <w:rPr>
                <w:rFonts w:ascii="Consolas" w:hAnsi="Consolas"/>
                <w:color w:val="C7254E"/>
                <w:sz w:val="20"/>
              </w:rPr>
              <w:t>stock.*</w:t>
            </w:r>
            <w:r>
              <w:t xml:space="preserve"> existe pero está vacío). Hoy el analista pega la hoja </w:t>
            </w:r>
            <w:r>
              <w:rPr>
                <w:rFonts w:ascii="Consolas" w:hAnsi="Consolas"/>
                <w:color w:val="C7254E"/>
                <w:sz w:val="20"/>
              </w:rPr>
              <w:t>IPSA</w:t>
            </w:r>
            <w:r>
              <w:t xml:space="preserve"> a mano desde Bloomberg. Necesaria para la columna IPSA de las 5 tablas de sec 05 (quartile, GICS, concentración, IPSA/NO IPSA). El join es por ticker BBG, puenteado por la dimensional </w:t>
            </w:r>
            <w:r>
              <w:rPr>
                <w:rFonts w:ascii="Consolas" w:hAnsi="Consolas"/>
                <w:color w:val="C7254E"/>
                <w:sz w:val="20"/>
              </w:rPr>
              <w:t>BDChile</w:t>
            </w:r>
          </w:p>
        </w:tc>
      </w:tr>
      <w:tr>
        <w:tc>
          <w:tcPr>
            <w:tcW w:type="dxa" w:w="4320"/>
          </w:tcPr>
          <w:p>
            <w:r/>
            <w:r>
              <w:t xml:space="preserve">Precios mensuales de </w:t>
            </w:r>
            <w:r>
              <w:rPr>
                <w:b/>
              </w:rPr>
              <w:t>peers competidores no-Moneda</w:t>
            </w:r>
          </w:p>
        </w:tc>
        <w:tc>
          <w:tcPr>
            <w:tcW w:type="dxa" w:w="4320"/>
          </w:tcPr>
          <w:p>
            <w:r/>
            <w:r>
              <w:t>Para sec 04 valorización completa. Hoy tenemos cinta de precios solo de fondos Moneda</w:t>
            </w:r>
          </w:p>
        </w:tc>
      </w:tr>
      <w:tr>
        <w:tc>
          <w:tcPr>
            <w:tcW w:type="dxa" w:w="4320"/>
          </w:tcPr>
          <w:p>
            <w:r/>
            <w:r>
              <w:t>FX intra-mes en feriados</w:t>
            </w:r>
          </w:p>
        </w:tc>
        <w:tc>
          <w:tcPr>
            <w:tcW w:type="dxa" w:w="4320"/>
          </w:tcPr>
          <w:p>
            <w:r/>
            <w:r>
              <w:t>Si el cierre cae en feriado, el legacy usa BBG para el día hábil más cercano</w:t>
            </w:r>
          </w:p>
        </w:tc>
      </w:tr>
    </w:tbl>
    <w:p/>
    <w:p>
      <w:r>
        <w:rPr>
          <w:b/>
        </w:rPr>
        <w:t>Camino para desbloquear lo que queda:</w:t>
      </w:r>
      <w:r>
        <w:t xml:space="preserve"> 1. Verificar primero si Mkt_Cap de ADRs está en otra tabla de </w:t>
      </w:r>
      <w:r>
        <w:rPr>
          <w:rFonts w:ascii="Consolas" w:hAnsi="Consolas"/>
          <w:color w:val="C7254E"/>
          <w:sz w:val="20"/>
        </w:rPr>
        <w:t>Inteligencia_Producto_Dev</w:t>
      </w:r>
      <w:r>
        <w:t xml:space="preserve"> (no lo busqué exhaustivamente) 2. Si no: coordinar cuenta Bloomberg corporativa headless o sync </w:t>
      </w:r>
      <w:r>
        <w:rPr>
          <w:rFonts w:ascii="Consolas" w:hAnsi="Consolas"/>
          <w:color w:val="C7254E"/>
          <w:sz w:val="20"/>
        </w:rPr>
        <w:t>blpapi</w:t>
      </w:r>
      <w:r>
        <w:t xml:space="preserve"> 3. Estimación: 1 día de búsqueda + 3-5 días con cuenta Bloomberg si hace falta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 xml:space="preserve">2.2 SQL Server </w:t>
      </w:r>
      <w:r>
        <w:rPr>
          <w:rFonts w:ascii="Consolas" w:hAnsi="Consolas"/>
          <w:color w:val="C7254E"/>
          <w:sz w:val="20"/>
        </w:rPr>
        <w:t>Inteligencia_Producto_Dev</w:t>
      </w:r>
      <w:r>
        <w:t xml:space="preserve"> — ✅ SYNCEADO</w:t>
      </w:r>
    </w:p>
    <w:p>
      <w:r>
        <w:rPr>
          <w:b/>
        </w:rPr>
        <w:t>Status: RESUELTO el 2026-05-15.</w:t>
      </w:r>
    </w:p>
    <w:p>
      <w:r>
        <w:t xml:space="preserve">Hicimos sync de 12 tablas (109,187 rows) via </w:t>
      </w:r>
      <w:r>
        <w:rPr>
          <w:rFonts w:ascii="Consolas" w:hAnsi="Consolas"/>
          <w:color w:val="C7254E"/>
          <w:sz w:val="20"/>
        </w:rPr>
        <w:t>sync/sync_inteligencia_producto.py</w:t>
      </w:r>
      <w:r>
        <w:t>.</w:t>
      </w:r>
    </w:p>
    <w:p>
      <w:r>
        <w:rPr>
          <w:b/>
        </w:rPr>
        <w:t>Lo que se sincronizó: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Supabase table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SQL Server 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dim_ipd_gics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dimensionales.BD_GICS</w:t>
            </w:r>
          </w:p>
        </w:tc>
        <w:tc>
          <w:tcPr>
            <w:tcW w:type="dxa" w:w="2880"/>
          </w:tcPr>
          <w:p>
            <w:r/>
            <w:r>
              <w:t>169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dim_ipd_benchmarks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dimensionales.BD_Benchmarks</w:t>
            </w:r>
          </w:p>
        </w:tc>
        <w:tc>
          <w:tcPr>
            <w:tcW w:type="dxa" w:w="2880"/>
          </w:tcPr>
          <w:p>
            <w:r/>
            <w:r>
              <w:t>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dim_ipd_homol_benchmarks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dimensionales.HOMOL_Benchmarks</w:t>
            </w:r>
          </w:p>
        </w:tc>
        <w:tc>
          <w:tcPr>
            <w:tcW w:type="dxa" w:w="2880"/>
          </w:tcPr>
          <w:p>
            <w:r/>
            <w:r>
              <w:t>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dim_ipd_funds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dimensionales.BD_Funds</w:t>
            </w:r>
            <w:r>
              <w:t xml:space="preserve"> (Moneda funds)</w:t>
            </w:r>
          </w:p>
        </w:tc>
        <w:tc>
          <w:tcPr>
            <w:tcW w:type="dxa" w:w="2880"/>
          </w:tcPr>
          <w:p>
            <w:r/>
            <w:r>
              <w:t>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dim_ipd_homol_funds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dimensionales.HOMOL_Funds</w:t>
            </w:r>
          </w:p>
        </w:tc>
        <w:tc>
          <w:tcPr>
            <w:tcW w:type="dxa" w:w="2880"/>
          </w:tcPr>
          <w:p>
            <w:r/>
            <w:r>
              <w:t>193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dim_ipd_paises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dimensionales.BD_Paises</w:t>
            </w:r>
          </w:p>
        </w:tc>
        <w:tc>
          <w:tcPr>
            <w:tcW w:type="dxa" w:w="2880"/>
          </w:tcPr>
          <w:p>
            <w:r/>
            <w:r>
              <w:t>247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dim_ipd_monedas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dimensionales.BD_Monedas_Dimensiones</w:t>
            </w:r>
          </w:p>
        </w:tc>
        <w:tc>
          <w:tcPr>
            <w:tcW w:type="dxa" w:w="2880"/>
          </w:tcPr>
          <w:p>
            <w:r/>
            <w:r>
              <w:t>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dim_ipd_instrumentos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dimensionales.BD_Instrumentos</w:t>
            </w:r>
            <w:r>
              <w:t xml:space="preserve"> (filtrado a </w:t>
            </w:r>
            <w:r>
              <w:rPr>
                <w:rFonts w:ascii="Consolas" w:hAnsi="Consolas"/>
                <w:color w:val="C7254E"/>
                <w:sz w:val="20"/>
              </w:rPr>
              <w:t>TickerBBG NOT NULL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2,341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ipd_positions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extract.IPA</w:t>
            </w:r>
            <w:r>
              <w:t xml:space="preserve"> (rolling 3 meses)</w:t>
            </w:r>
          </w:p>
        </w:tc>
        <w:tc>
          <w:tcPr>
            <w:tcW w:type="dxa" w:w="2880"/>
          </w:tcPr>
          <w:p>
            <w:r/>
            <w:r>
              <w:t>98,539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ipd_cubo_final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process.CUBO_Final</w:t>
            </w:r>
          </w:p>
        </w:tc>
        <w:tc>
          <w:tcPr>
            <w:tcW w:type="dxa" w:w="2880"/>
          </w:tcPr>
          <w:p>
            <w:r/>
            <w:r>
              <w:t>5,313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ipd_jpm_cembi_metrics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metrics.TBL_JPM_CEMBI_AGG_METRICS</w:t>
            </w:r>
          </w:p>
        </w:tc>
        <w:tc>
          <w:tcPr>
            <w:tcW w:type="dxa" w:w="2880"/>
          </w:tcPr>
          <w:p>
            <w:r/>
            <w:r>
              <w:t>864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ipd_risk_america_metrics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metrics.TBL_RISK_AMERICA_AGG_METRICS</w:t>
            </w:r>
          </w:p>
        </w:tc>
        <w:tc>
          <w:tcPr>
            <w:tcW w:type="dxa" w:w="2880"/>
          </w:tcPr>
          <w:p>
            <w:r/>
            <w:r>
              <w:t>1,332</w:t>
            </w:r>
          </w:p>
        </w:tc>
      </w:tr>
    </w:tbl>
    <w:p/>
    <w:p>
      <w:r>
        <w:rPr>
          <w:b/>
        </w:rPr>
        <w:t>Lo que NO estaba en `Inteligencia_Producto_Dev`</w:t>
      </w:r>
      <w:r>
        <w:t xml:space="preserve"> (confirmado tras inspección de schemas):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Distributor → Manager mapping</w:t>
      </w:r>
      <w:r>
        <w:t xml:space="preserve"> (sec 09) — no existe ninguna tabla así. Sigue siendo manual en </w:t>
      </w:r>
      <w:r>
        <w:rPr>
          <w:rFonts w:ascii="Consolas" w:hAnsi="Consolas"/>
          <w:color w:val="C7254E"/>
          <w:sz w:val="20"/>
        </w:rPr>
        <w:t>Aux1</w:t>
      </w:r>
      <w:r>
        <w:t xml:space="preserve"> de </w:t>
      </w:r>
      <w:r>
        <w:rPr>
          <w:rFonts w:ascii="Consolas" w:hAnsi="Consolas"/>
          <w:color w:val="C7254E"/>
          <w:sz w:val="20"/>
        </w:rPr>
        <w:t>15_Distributors.xlsm</w:t>
      </w:r>
      <w:r>
        <w:t>. Ver §2.5.</w:t>
      </w:r>
    </w:p>
    <w:p>
      <w:pPr>
        <w:pStyle w:val="ListBullet"/>
        <w:ind w:left="360"/>
      </w:pPr>
      <w:r>
        <w:t xml:space="preserve">🟡 </w:t>
      </w:r>
      <w:r>
        <w:rPr>
          <w:b/>
        </w:rPr>
        <w:t>IPSA composition</w:t>
      </w:r>
      <w:r>
        <w:t xml:space="preserve"> — solo el catálogo de BMs (32 nombres en </w:t>
      </w:r>
      <w:r>
        <w:rPr>
          <w:rFonts w:ascii="Consolas" w:hAnsi="Consolas"/>
          <w:color w:val="C7254E"/>
          <w:sz w:val="20"/>
        </w:rPr>
        <w:t>dim_ipd_benchmarks</w:t>
      </w:r>
      <w:r>
        <w:t xml:space="preserve">), NO los constituyentes ni ponderaciones del IPSA. Se obtiene de </w:t>
      </w:r>
      <w:r>
        <w:rPr>
          <w:b/>
        </w:rPr>
        <w:t>Bloomberg</w:t>
      </w:r>
      <w:r>
        <w:t xml:space="preserve"> — ver §2.1. Nota: Pionero y MRV </w:t>
      </w:r>
      <w:r>
        <w:rPr>
          <w:b/>
        </w:rPr>
        <w:t>sí</w:t>
      </w:r>
      <w:r>
        <w:t xml:space="preserve"> están sincronizados como fondos Moneda en </w:t>
      </w:r>
      <w:r>
        <w:rPr>
          <w:rFonts w:ascii="Consolas" w:hAnsi="Consolas"/>
          <w:color w:val="C7254E"/>
          <w:sz w:val="20"/>
        </w:rPr>
        <w:t>ipd_positions</w:t>
      </w:r>
      <w:r>
        <w:t xml:space="preserve"> (id 33 y 19); no son un gap.</w:t>
      </w:r>
    </w:p>
    <w:p>
      <w:pPr>
        <w:pStyle w:val="ListBullet"/>
        <w:ind w:left="360"/>
      </w:pPr>
      <w:r>
        <w:t xml:space="preserve">❌ </w:t>
      </w:r>
      <w:r>
        <w:rPr>
          <w:b/>
        </w:rPr>
        <w:t>Family `dim_bd_family_comp` extendido a 167 peers</w:t>
      </w:r>
      <w:r>
        <w:t xml:space="preserve"> — los 72 fondos en </w:t>
      </w:r>
      <w:r>
        <w:rPr>
          <w:rFonts w:ascii="Consolas" w:hAnsi="Consolas"/>
          <w:color w:val="C7254E"/>
          <w:sz w:val="20"/>
        </w:rPr>
        <w:t>dim_ipd_funds</w:t>
      </w:r>
      <w:r>
        <w:t xml:space="preserve"> son SOLO Moneda. Para peers competidores hay que recurrir a Excel </w:t>
      </w:r>
      <w:r>
        <w:rPr>
          <w:rFonts w:ascii="Consolas" w:hAnsi="Consolas"/>
          <w:color w:val="C7254E"/>
          <w:sz w:val="20"/>
        </w:rPr>
        <w:t>21/BD</w:t>
      </w:r>
      <w:r>
        <w:t xml:space="preserve"> o ampliar </w:t>
      </w:r>
      <w:r>
        <w:rPr>
          <w:rFonts w:ascii="Consolas" w:hAnsi="Consolas"/>
          <w:color w:val="C7254E"/>
          <w:sz w:val="20"/>
        </w:rPr>
        <w:t>dim_bd_family_comp</w:t>
      </w:r>
      <w:r>
        <w:t xml:space="preserve"> directamente.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 xml:space="preserve">2.3 Network share </w:t>
      </w:r>
      <w:r>
        <w:rPr>
          <w:rFonts w:ascii="Consolas" w:hAnsi="Consolas"/>
          <w:color w:val="C7254E"/>
          <w:sz w:val="20"/>
        </w:rPr>
        <w:t>\\moneda03\Compartidos\</w:t>
      </w:r>
      <w:r>
        <w:t xml:space="preserve"> — Pionero benchmark</w:t>
      </w:r>
    </w:p>
    <w:p>
      <w:r>
        <w:rPr>
          <w:b/>
        </w:rPr>
        <w:t>Qué es:</w:t>
      </w:r>
      <w:r>
        <w:t xml:space="preserve"> Drive interno de Moneda donde viven los Excels mensuales + outputs PDF + carpetas externas de soporte.</w:t>
      </w:r>
    </w:p>
    <w:p>
      <w:r>
        <w:rPr>
          <w:b/>
        </w:rPr>
        <w:t>Paths relevantes: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hay ahí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\\moneda03\Compartidos\Inteligencia de Negocios y Mercados\</w:t>
            </w:r>
          </w:p>
        </w:tc>
        <w:tc>
          <w:tcPr>
            <w:tcW w:type="dxa" w:w="2880"/>
          </w:tcPr>
          <w:p>
            <w:r/>
            <w:r>
              <w:t xml:space="preserve">Carpeta raíz mensual + </w:t>
            </w:r>
            <w:r>
              <w:rPr>
                <w:rFonts w:ascii="Consolas" w:hAnsi="Consolas"/>
                <w:color w:val="C7254E"/>
                <w:sz w:val="20"/>
              </w:rPr>
              <w:t>mcp_servers.json</w:t>
            </w:r>
            <w:r>
              <w:t xml:space="preserve"> + Excels de cada mes</w:t>
            </w:r>
          </w:p>
        </w:tc>
        <w:tc>
          <w:tcPr>
            <w:tcW w:type="dxa" w:w="2880"/>
          </w:tcPr>
          <w:p>
            <w:r/>
            <w:r>
              <w:t>Identificada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..\..\PIONERO\Pionero</w:t>
            </w:r>
            <w:r>
              <w:t xml:space="preserve"> (en </w:t>
            </w:r>
            <w:r>
              <w:rPr>
                <w:rFonts w:ascii="Consolas" w:hAnsi="Consolas"/>
                <w:color w:val="C7254E"/>
                <w:sz w:val="20"/>
              </w:rPr>
              <w:t>20_Cartera_Acc_Chilenas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Composición Pionero benchmark</w:t>
            </w:r>
            <w:r>
              <w:t xml:space="preserve"> (~400 stocks con peso/sector)</w:t>
            </w:r>
          </w:p>
        </w:tc>
        <w:tc>
          <w:tcPr>
            <w:tcW w:type="dxa" w:w="2880"/>
          </w:tcPr>
          <w:p>
            <w:r/>
            <w:r>
              <w:t>⏳ Pendiente explorar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\AFP\Int...</w:t>
            </w:r>
            <w:r>
              <w:t xml:space="preserve"> (en </w:t>
            </w:r>
            <w:r>
              <w:rPr>
                <w:rFonts w:ascii="Consolas" w:hAnsi="Consolas"/>
                <w:color w:val="C7254E"/>
                <w:sz w:val="20"/>
              </w:rPr>
              <w:t>19_Top_Purchases_Sales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Archivo de input para Top Purchases &amp; Sales</w:t>
            </w:r>
          </w:p>
        </w:tc>
        <w:tc>
          <w:tcPr>
            <w:tcW w:type="dxa" w:w="2880"/>
          </w:tcPr>
          <w:p>
            <w:r/>
            <w:r>
              <w:t>⏳ Pendiente identificar exactamente</w:t>
            </w:r>
          </w:p>
        </w:tc>
      </w:tr>
    </w:tbl>
    <w:p/>
    <w:p>
      <w:r>
        <w:rPr>
          <w:b/>
        </w:rPr>
        <w:t>Por qué bloquea:</w:t>
      </w:r>
    </w:p>
    <w:p>
      <w:pPr>
        <w:pStyle w:val="ListBullet"/>
        <w:ind w:left="360"/>
      </w:pPr>
      <w:r>
        <w:rPr>
          <w:b/>
        </w:rPr>
        <w:t>Sec 05 Portfolio Breakdown vs benchmark:</w:t>
      </w:r>
      <w:r>
        <w:t xml:space="preserve"> GICS breakdown ya está construido (✅), pero comparar contra peso del Pionero / MRV / IPSA todavía requiere las composiciones. Pionero específicamente vive en esta carpeta separada.</w:t>
      </w:r>
    </w:p>
    <w:p>
      <w:pPr>
        <w:pStyle w:val="ListBullet"/>
        <w:ind w:left="360"/>
      </w:pPr>
      <w:r>
        <w:rPr>
          <w:b/>
        </w:rPr>
        <w:t>Sec 06 / Sec 08 transaction flows exactos:</w:t>
      </w:r>
      <w:r>
        <w:t xml:space="preserve"> </w:t>
      </w:r>
      <w:r>
        <w:rPr>
          <w:rFonts w:ascii="Consolas" w:hAnsi="Consolas"/>
          <w:color w:val="C7254E"/>
          <w:sz w:val="20"/>
        </w:rPr>
        <w:t>19_Top_Purchases_Sales.xlsm</w:t>
      </w:r>
      <w:r>
        <w:t xml:space="preserve"> lee un archivo aquí con units × price puros — sin él solo tenemos aproximación (end − start con noise de price moves).</w:t>
      </w:r>
    </w:p>
    <w:p>
      <w:r>
        <w:rPr>
          <w:b/>
        </w:rPr>
        <w:t>Camino para desbloquear:</w:t>
      </w:r>
      <w:r>
        <w:t xml:space="preserve"> 1. Acceder a </w:t>
      </w:r>
      <w:r>
        <w:rPr>
          <w:rFonts w:ascii="Consolas" w:hAnsi="Consolas"/>
          <w:color w:val="C7254E"/>
          <w:sz w:val="20"/>
        </w:rPr>
        <w:t>\\moneda03\Compartidos\PIONERO\</w:t>
      </w:r>
      <w:r>
        <w:t xml:space="preserve"> desde una máquina con red Patria. 2. Identificar el archivo exacto de composición Pionero (probable CSV/Excel mensual). 3. Identificar qué archivo lee </w:t>
      </w:r>
      <w:r>
        <w:rPr>
          <w:rFonts w:ascii="Consolas" w:hAnsi="Consolas"/>
          <w:color w:val="C7254E"/>
          <w:sz w:val="20"/>
        </w:rPr>
        <w:t>19_Top_Purchases_Sales</w:t>
      </w:r>
      <w:r>
        <w:t xml:space="preserve"> para units × price. 4. Decisión: sync programático del file share, o pedir a TI exportar a tabla SQL Server. 5. Estimación: 1 día de exploración + variable según decisión.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CHIST con lag de 4 meses (publicación pendiente)</w:t>
      </w:r>
    </w:p>
    <w:p>
      <w:r>
        <w:rPr>
          <w:b/>
        </w:rPr>
        <w:t>Qué es:</w:t>
      </w:r>
      <w:r>
        <w:t xml:space="preserve"> CHIST (Comisión para el Mercado Financiero) publica detalle de carteras con units × price con lag de ~4 meses.</w:t>
      </w:r>
    </w:p>
    <w:p>
      <w:r>
        <w:rPr>
          <w:b/>
        </w:rPr>
        <w:t>Qué cubrimos hoy:</w:t>
      </w:r>
    </w:p>
    <w:p>
      <w:pPr>
        <w:pStyle w:val="ListBullet"/>
        <w:ind w:left="360"/>
      </w:pPr>
      <w:r>
        <w:t xml:space="preserve">CHIST publicado → </w:t>
      </w:r>
      <w:r>
        <w:rPr>
          <w:rFonts w:ascii="Consolas" w:hAnsi="Consolas"/>
          <w:color w:val="C7254E"/>
          <w:sz w:val="20"/>
        </w:rPr>
        <w:t>historial_carteras_full</w:t>
      </w:r>
      <w:r>
        <w:t xml:space="preserve"> con detalle completo (units, price, ISIN, manager).</w:t>
      </w:r>
    </w:p>
    <w:p>
      <w:pPr>
        <w:pStyle w:val="ListBullet"/>
        <w:ind w:left="360"/>
      </w:pPr>
      <w:r>
        <w:t xml:space="preserve">CHIST pendiente → SP XML llega sin lag, pero </w:t>
      </w:r>
      <w:r>
        <w:rPr>
          <w:b/>
        </w:rPr>
        <w:t>NO incluye units</w:t>
      </w:r>
      <w:r>
        <w:t xml:space="preserve"> — solo monto USD agregado.</w:t>
      </w:r>
    </w:p>
    <w:p>
      <w:r>
        <w:rPr>
          <w:b/>
        </w:rPr>
        <w:t>Por qué bloquea (parcialmente):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 xml:space="preserve">Sec 06 Chilean Stocks </w:t>
            </w:r>
            <w:r>
              <w:rPr>
                <w:b/>
              </w:rPr>
              <w:t>Transactions</w:t>
            </w:r>
          </w:p>
        </w:tc>
        <w:tc>
          <w:tcPr>
            <w:tcW w:type="dxa" w:w="4320"/>
          </w:tcPr>
          <w:p>
            <w:r/>
            <w:r>
              <w:t xml:space="preserve">🟡 Aproximación </w:t>
            </w:r>
            <w:r>
              <w:rPr>
                <w:rFonts w:ascii="Consolas" w:hAnsi="Consolas"/>
                <w:color w:val="C7254E"/>
                <w:sz w:val="20"/>
              </w:rPr>
              <w:t>end − start del monto USD</w:t>
            </w:r>
            <w:r>
              <w:t>. Mezcla flow real con price moves.</w:t>
            </w:r>
          </w:p>
        </w:tc>
      </w:tr>
      <w:tr>
        <w:tc>
          <w:tcPr>
            <w:tcW w:type="dxa" w:w="4320"/>
          </w:tcPr>
          <w:p>
            <w:r/>
            <w:r>
              <w:t>Sec 08 Top Net Purchases and Sales (foreign)</w:t>
            </w:r>
          </w:p>
        </w:tc>
        <w:tc>
          <w:tcPr>
            <w:tcW w:type="dxa" w:w="4320"/>
          </w:tcPr>
          <w:p>
            <w:r/>
            <w:r>
              <w:t>🟡 Mismo problema</w:t>
            </w:r>
          </w:p>
        </w:tc>
      </w:tr>
    </w:tbl>
    <w:p/>
    <w:p>
      <w:r>
        <w:rPr>
          <w:b/>
        </w:rPr>
        <w:t>Camino:</w:t>
      </w:r>
      <w:r>
        <w:t xml:space="preserve"> sin acción técnica, esperar publishing CHIST. Sync existente lo levanta automático.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🆕 Distributor → Manager mapping (sec 09)</w:t>
      </w:r>
    </w:p>
    <w:p>
      <w:r>
        <w:rPr>
          <w:b/>
        </w:rPr>
        <w:t>Qué es:</w:t>
      </w:r>
      <w:r>
        <w:t xml:space="preserve"> El mapping (Distributor, Manager, Asset Class, Region, Strategy, Currency) que vive en la sheet </w:t>
      </w:r>
      <w:r>
        <w:rPr>
          <w:rFonts w:ascii="Consolas" w:hAnsi="Consolas"/>
          <w:color w:val="C7254E"/>
          <w:sz w:val="20"/>
        </w:rPr>
        <w:t>Aux1</w:t>
      </w:r>
      <w:r>
        <w:t xml:space="preserve"> de </w:t>
      </w:r>
      <w:r>
        <w:rPr>
          <w:rFonts w:ascii="Consolas" w:hAnsi="Consolas"/>
          <w:color w:val="C7254E"/>
          <w:sz w:val="20"/>
        </w:rPr>
        <w:t>15_Distributors.xlsm</w:t>
      </w:r>
      <w:r>
        <w:t xml:space="preserve"> (~2,000 filas mantenidas manualmente por el research desk).</w:t>
      </w:r>
    </w:p>
    <w:p>
      <w:r>
        <w:rPr>
          <w:b/>
        </w:rPr>
        <w:t>Estado:</w:t>
      </w:r>
      <w:r>
        <w:t xml:space="preserve"> Confirmado que </w:t>
      </w:r>
      <w:r>
        <w:rPr>
          <w:b/>
        </w:rPr>
        <w:t>NO está en `Inteligencia_Producto_Dev`</w:t>
      </w:r>
      <w:r>
        <w:t xml:space="preserve"> ni en </w:t>
      </w:r>
      <w:r>
        <w:rPr>
          <w:rFonts w:ascii="Consolas" w:hAnsi="Consolas"/>
          <w:color w:val="C7254E"/>
          <w:sz w:val="20"/>
        </w:rPr>
        <w:t>Inteligencia_Mercado</w:t>
      </w:r>
      <w:r>
        <w:t>. Es categórico mantenido a mano.</w:t>
      </w:r>
    </w:p>
    <w:p>
      <w:r>
        <w:rPr>
          <w:b/>
        </w:rPr>
        <w:t>Por qué bloquea:</w:t>
      </w:r>
    </w:p>
    <w:p>
      <w:pPr>
        <w:pStyle w:val="ListBullet"/>
        <w:ind w:left="360"/>
      </w:pPr>
      <w:r>
        <w:rPr>
          <w:b/>
        </w:rPr>
        <w:t>Sec 09 Distributors:</w:t>
      </w:r>
      <w:r>
        <w:t xml:space="preserve"> estructura entera del PDF (Moneda distribuye Carlyle, BlackRock distribuye iShares, Compass distribuye Pimco/Ninety One/..., etc.). 100% manual.</w:t>
      </w:r>
    </w:p>
    <w:p>
      <w:pPr>
        <w:pStyle w:val="ListBullet"/>
        <w:ind w:left="360"/>
      </w:pPr>
      <w:r>
        <w:rPr>
          <w:b/>
        </w:rPr>
        <w:t>Sec 10 Managers cross-section:</w:t>
      </w:r>
      <w:r>
        <w:t xml:space="preserve"> misma mapping pivoteada distinto.</w:t>
      </w:r>
    </w:p>
    <w:p>
      <w:r>
        <w:rPr>
          <w:b/>
        </w:rPr>
        <w:t>Camino para desbloquear:</w:t>
      </w:r>
      <w:r>
        <w:t xml:space="preserve"> 1. Migrar </w:t>
      </w:r>
      <w:r>
        <w:rPr>
          <w:rFonts w:ascii="Consolas" w:hAnsi="Consolas"/>
          <w:color w:val="C7254E"/>
          <w:sz w:val="20"/>
        </w:rPr>
        <w:t>Aux1</w:t>
      </w:r>
      <w:r>
        <w:t xml:space="preserve"> del Excel a una dim Supabase (</w:t>
      </w:r>
      <w:r>
        <w:rPr>
          <w:rFonts w:ascii="Consolas" w:hAnsi="Consolas"/>
          <w:color w:val="C7254E"/>
          <w:sz w:val="20"/>
        </w:rPr>
        <w:t>dim_distributor_manager</w:t>
      </w:r>
      <w:r>
        <w:t xml:space="preserve">) — granularidad </w:t>
      </w:r>
      <w:r>
        <w:rPr>
          <w:rFonts w:ascii="Consolas" w:hAnsi="Consolas"/>
          <w:color w:val="C7254E"/>
          <w:sz w:val="20"/>
        </w:rPr>
        <w:t>(Manager × Asset Class × Region × Strategy × Currency) → Distributor</w:t>
      </w:r>
      <w:r>
        <w:t xml:space="preserve">, </w:t>
      </w:r>
      <w:r>
        <w:rPr>
          <w:b/>
        </w:rPr>
        <w:t>no</w:t>
      </w:r>
      <w:r>
        <w:t xml:space="preserve"> a nivel fund_id. 2. Acordar con el research desk un protocolo de mantenimiento mensual (¿quién actualiza la tabla cuando aparece un manager nuevo?). 3. Construir vista </w:t>
      </w:r>
      <w:r>
        <w:rPr>
          <w:rFonts w:ascii="Consolas" w:hAnsi="Consolas"/>
          <w:color w:val="C7254E"/>
          <w:sz w:val="20"/>
        </w:rPr>
        <w:t>v_distributors</w:t>
      </w:r>
      <w:r>
        <w:t xml:space="preserve"> que cruce </w:t>
      </w:r>
      <w:r>
        <w:rPr>
          <w:rFonts w:ascii="Consolas" w:hAnsi="Consolas"/>
          <w:color w:val="C7254E"/>
          <w:sz w:val="20"/>
        </w:rPr>
        <w:t>historial_carteras_full</w:t>
      </w:r>
      <w:r>
        <w:t xml:space="preserve"> con esta dim. 4. Estimación: 2-3 días (incluye export + import + UI sec 09).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Tabla resumen — Qué bloquea cada sección del PDF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PDF Sección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 dashboard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Bloqueador externo</w:t>
            </w:r>
          </w:p>
        </w:tc>
      </w:tr>
      <w:tr>
        <w:tc>
          <w:tcPr>
            <w:tcW w:type="dxa" w:w="2880"/>
          </w:tcPr>
          <w:p>
            <w:r/>
            <w:r>
              <w:t>01 Market Share, Returns, Flows</w:t>
            </w:r>
          </w:p>
        </w:tc>
        <w:tc>
          <w:tcPr>
            <w:tcW w:type="dxa" w:w="2880"/>
          </w:tcPr>
          <w:p>
            <w:r/>
            <w:r>
              <w:t>✅ Listo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02 Asset Class Distribution by AFP</w:t>
            </w:r>
          </w:p>
        </w:tc>
        <w:tc>
          <w:tcPr>
            <w:tcW w:type="dxa" w:w="2880"/>
          </w:tcPr>
          <w:p>
            <w:r/>
            <w:r>
              <w:t>✅ Listo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03 Asset Class Distribution by Fund Type</w:t>
            </w:r>
          </w:p>
        </w:tc>
        <w:tc>
          <w:tcPr>
            <w:tcW w:type="dxa" w:w="2880"/>
          </w:tcPr>
          <w:p>
            <w:r/>
            <w:r>
              <w:t>✅ Listo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04 Strategy (Moneda + peers)</w:t>
            </w:r>
          </w:p>
        </w:tc>
        <w:tc>
          <w:tcPr>
            <w:tcW w:type="dxa" w:w="2880"/>
          </w:tcPr>
          <w:p>
            <w:r/>
            <w:r>
              <w:t xml:space="preserve">✅ Listo (115 peers en </w:t>
            </w:r>
            <w:r>
              <w:rPr>
                <w:rFonts w:ascii="Consolas" w:hAnsi="Consolas"/>
                <w:color w:val="C7254E"/>
                <w:sz w:val="20"/>
              </w:rPr>
              <w:t>AFP_CL_DIM_Family_Comp</w:t>
            </w:r>
            <w:r>
              <w:t xml:space="preserve">, cinta Moneda ✅, benchmarks Bloomberg via </w:t>
            </w:r>
            <w:r>
              <w:rPr>
                <w:rFonts w:ascii="Consolas" w:hAnsi="Consolas"/>
                <w:color w:val="C7254E"/>
                <w:sz w:val="20"/>
              </w:rPr>
              <w:t>DW_MONEDA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— (los 167 del Excel </w:t>
            </w:r>
            <w:r>
              <w:rPr>
                <w:rFonts w:ascii="Consolas" w:hAnsi="Consolas"/>
                <w:color w:val="C7254E"/>
                <w:sz w:val="20"/>
              </w:rPr>
              <w:t>21/BD</w:t>
            </w:r>
            <w:r>
              <w:t xml:space="preserve"> son OTRO reporte, taxonomía distinta)</w:t>
            </w:r>
          </w:p>
        </w:tc>
      </w:tr>
      <w:tr>
        <w:tc>
          <w:tcPr>
            <w:tcW w:type="dxa" w:w="2880"/>
          </w:tcPr>
          <w:p>
            <w:r/>
            <w:r>
              <w:t>05 Chilean Stocks Portfolio</w:t>
            </w:r>
          </w:p>
        </w:tc>
        <w:tc>
          <w:tcPr>
            <w:tcW w:type="dxa" w:w="2880"/>
          </w:tcPr>
          <w:p>
            <w:r/>
            <w:r>
              <w:t>🟡 GICS + columna AFPs ✅ / columnas Pionero·MRV·IPSA 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§2.1</w:t>
            </w:r>
            <w:r>
              <w:t xml:space="preserve"> Bloomberg para composición IPSA (</w:t>
            </w:r>
            <w:r>
              <w:rPr>
                <w:rFonts w:ascii="Consolas" w:hAnsi="Consolas"/>
                <w:color w:val="C7254E"/>
                <w:sz w:val="20"/>
              </w:rPr>
              <w:t>INDX_MWEIGHT</w:t>
            </w:r>
            <w:r>
              <w:t xml:space="preserve">). Pionero/MRV ya en </w:t>
            </w:r>
            <w:r>
              <w:rPr>
                <w:rFonts w:ascii="Consolas" w:hAnsi="Consolas"/>
                <w:color w:val="C7254E"/>
                <w:sz w:val="20"/>
              </w:rPr>
              <w:t>ipd_positions</w:t>
            </w:r>
            <w:r>
              <w:t xml:space="preserve">. Falta migrar la dimensional </w:t>
            </w:r>
            <w:r>
              <w:rPr>
                <w:rFonts w:ascii="Consolas" w:hAnsi="Consolas"/>
                <w:color w:val="C7254E"/>
                <w:sz w:val="20"/>
              </w:rPr>
              <w:t>BDChile</w:t>
            </w:r>
            <w:r>
              <w:t xml:space="preserve"> (cuartil manual) a Supabase</w:t>
            </w:r>
          </w:p>
        </w:tc>
      </w:tr>
      <w:tr>
        <w:tc>
          <w:tcPr>
            <w:tcW w:type="dxa" w:w="2880"/>
          </w:tcPr>
          <w:p>
            <w:r/>
            <w:r>
              <w:t>06 Chilean Stocks Transactions</w:t>
            </w:r>
          </w:p>
        </w:tc>
        <w:tc>
          <w:tcPr>
            <w:tcW w:type="dxa" w:w="2880"/>
          </w:tcPr>
          <w:p>
            <w:r/>
            <w:r>
              <w:t>🟡 Aproximación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§2.4</w:t>
            </w:r>
            <w:r>
              <w:t xml:space="preserve"> CHIST publishing lag + </w:t>
            </w:r>
            <w:r>
              <w:rPr>
                <w:b/>
              </w:rPr>
              <w:t>§2.3</w:t>
            </w:r>
            <w:r>
              <w:t xml:space="preserve"> archivo </w:t>
            </w:r>
            <w:r>
              <w:rPr>
                <w:rFonts w:ascii="Consolas" w:hAnsi="Consolas"/>
                <w:color w:val="C7254E"/>
                <w:sz w:val="20"/>
              </w:rPr>
              <w:t>\\moneda03\Compartidos\</w:t>
            </w:r>
            <w:r>
              <w:t xml:space="preserve"> (units × price puro)</w:t>
            </w:r>
          </w:p>
        </w:tc>
      </w:tr>
      <w:tr>
        <w:tc>
          <w:tcPr>
            <w:tcW w:type="dxa" w:w="2880"/>
          </w:tcPr>
          <w:p>
            <w:r/>
            <w:r>
              <w:t>07 Foreign Investment</w:t>
            </w:r>
          </w:p>
        </w:tc>
        <w:tc>
          <w:tcPr>
            <w:tcW w:type="dxa" w:w="2880"/>
          </w:tcPr>
          <w:p>
            <w:r/>
            <w:r>
              <w:t>✅ Listo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08 Top Net Purchases &amp; Sales (foreign)</w:t>
            </w:r>
          </w:p>
        </w:tc>
        <w:tc>
          <w:tcPr>
            <w:tcW w:type="dxa" w:w="2880"/>
          </w:tcPr>
          <w:p>
            <w:r/>
            <w:r>
              <w:t>🟡 Aproximación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§2.4</w:t>
            </w:r>
            <w:r>
              <w:t xml:space="preserve"> CHIST publishing lag + </w:t>
            </w:r>
            <w:r>
              <w:rPr>
                <w:b/>
              </w:rPr>
              <w:t>§2.3</w:t>
            </w:r>
            <w:r>
              <w:t xml:space="preserve"> archivo de inputs</w:t>
            </w:r>
          </w:p>
        </w:tc>
      </w:tr>
      <w:tr>
        <w:tc>
          <w:tcPr>
            <w:tcW w:type="dxa" w:w="2880"/>
          </w:tcPr>
          <w:p>
            <w:r/>
            <w:r>
              <w:t>09 Distributors</w:t>
            </w:r>
          </w:p>
        </w:tc>
        <w:tc>
          <w:tcPr>
            <w:tcW w:type="dxa" w:w="2880"/>
          </w:tcPr>
          <w:p>
            <w:r/>
            <w:r>
              <w:t>❌ No empezado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§2.5</w:t>
            </w:r>
            <w:r>
              <w:t xml:space="preserve"> Migrar </w:t>
            </w:r>
            <w:r>
              <w:rPr>
                <w:rFonts w:ascii="Consolas" w:hAnsi="Consolas"/>
                <w:color w:val="C7254E"/>
                <w:sz w:val="20"/>
              </w:rPr>
              <w:t>Aux1</w:t>
            </w:r>
            <w:r>
              <w:t xml:space="preserve"> de Excel (manual, no en SQL Server)</w:t>
            </w:r>
          </w:p>
        </w:tc>
      </w:tr>
      <w:tr>
        <w:tc>
          <w:tcPr>
            <w:tcW w:type="dxa" w:w="2880"/>
          </w:tcPr>
          <w:p>
            <w:r/>
            <w:r>
              <w:t>10 Managers cross-section</w:t>
            </w:r>
          </w:p>
        </w:tc>
        <w:tc>
          <w:tcPr>
            <w:tcW w:type="dxa" w:w="2880"/>
          </w:tcPr>
          <w:p>
            <w:r/>
            <w:r>
              <w:t>🟡 Parcial (solo foreign en tab de sec 07)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§2.5</w:t>
            </w:r>
            <w:r>
              <w:t xml:space="preserve"> misma mapping que sec 09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Orden de ataque sugerido</w:t>
      </w:r>
    </w:p>
    <w:p>
      <w:r>
        <w:t xml:space="preserve">Por </w:t>
      </w:r>
      <w:r>
        <w:rPr>
          <w:b/>
        </w:rPr>
        <w:t>menor esfuerzo / mayor desbloqueo</w:t>
      </w:r>
      <w:r>
        <w:t>:</w:t>
      </w:r>
    </w:p>
    <w:p>
      <w:pPr>
        <w:pStyle w:val="ListNumber"/>
      </w:pPr>
      <w:r>
        <w:t>~~</w:t>
      </w:r>
      <w:r>
        <w:rPr>
          <w:b/>
        </w:rPr>
        <w:t>§2.2 `Inteligencia_Producto_Dev`</w:t>
      </w:r>
      <w:r>
        <w:t xml:space="preserve">~~ → ✅ </w:t>
      </w:r>
      <w:r>
        <w:rPr>
          <w:b/>
        </w:rPr>
        <w:t>HECHO</w:t>
      </w:r>
      <w:r>
        <w:t xml:space="preserve"> (2026-05-15)</w:t>
      </w:r>
    </w:p>
    <w:p>
      <w:pPr>
        <w:pStyle w:val="ListNumber"/>
      </w:pPr>
      <w:r>
        <w:t>~~</w:t>
      </w:r>
      <w:r>
        <w:rPr>
          <w:b/>
        </w:rPr>
        <w:t>Sec 04 peers `dim_bd_family_comp`</w:t>
      </w:r>
      <w:r>
        <w:t xml:space="preserve">~~ → ✅ </w:t>
      </w:r>
      <w:r>
        <w:rPr>
          <w:b/>
        </w:rPr>
        <w:t>HECHO</w:t>
      </w:r>
      <w:r>
        <w:t xml:space="preserve"> (2026-05-27, migrado a SQL como </w:t>
      </w:r>
      <w:r>
        <w:rPr>
          <w:rFonts w:ascii="Consolas" w:hAnsi="Consolas"/>
          <w:color w:val="C7254E"/>
          <w:sz w:val="20"/>
        </w:rPr>
        <w:t>AFP_CL_DIM_Family_Comp</w:t>
      </w:r>
      <w:r>
        <w:t>)</w:t>
      </w:r>
    </w:p>
    <w:p>
      <w:pPr>
        <w:pStyle w:val="ListNumber"/>
      </w:pPr>
      <w:r>
        <w:t>~~</w:t>
      </w:r>
      <w:r>
        <w:rPr>
          <w:b/>
        </w:rPr>
        <w:t>Pipeline SP XML → SQL Server</w:t>
      </w:r>
      <w:r>
        <w:t xml:space="preserve">~~ → ✅ </w:t>
      </w:r>
      <w:r>
        <w:rPr>
          <w:b/>
        </w:rPr>
        <w:t>HECHO</w:t>
      </w:r>
      <w:r>
        <w:t xml:space="preserve"> (2026-05-27, ver §6.2026-05-27)</w:t>
      </w:r>
    </w:p>
    <w:p>
      <w:pPr>
        <w:pStyle w:val="ListNumber"/>
      </w:pPr>
      <w:r>
        <w:rPr>
          <w:b/>
        </w:rPr>
        <w:t>§2.5 Distributor mapping</w:t>
      </w:r>
      <w:r>
        <w:t xml:space="preserve"> → migrar </w:t>
      </w:r>
      <w:r>
        <w:rPr>
          <w:rFonts w:ascii="Consolas" w:hAnsi="Consolas"/>
          <w:color w:val="C7254E"/>
          <w:sz w:val="20"/>
        </w:rPr>
        <w:t>Aux1</w:t>
      </w:r>
      <w:r>
        <w:t xml:space="preserve"> a SQL Server (</w:t>
      </w:r>
      <w:r>
        <w:rPr>
          <w:rFonts w:ascii="Consolas" w:hAnsi="Consolas"/>
          <w:color w:val="C7254E"/>
          <w:sz w:val="20"/>
        </w:rPr>
        <w:t>AFP_CL_DIM_Distributor_Manager</w:t>
      </w:r>
      <w:r>
        <w:t>) + Supabase. 2-3 días, desbloquea sec 09 + 10.</w:t>
      </w:r>
    </w:p>
    <w:p>
      <w:pPr>
        <w:pStyle w:val="ListNumber"/>
      </w:pPr>
      <w:r>
        <w:rPr>
          <w:b/>
        </w:rPr>
        <w:t>§2.3 `\\moneda03\Compartidos\PIONERO\`</w:t>
      </w:r>
      <w:r>
        <w:t xml:space="preserve"> → 1 día de exploración, desbloquea benchmark comparison sec 05.</w:t>
      </w:r>
    </w:p>
    <w:p>
      <w:pPr>
        <w:pStyle w:val="ListNumber"/>
      </w:pPr>
      <w:r>
        <w:rPr>
          <w:b/>
        </w:rPr>
        <w:t>§2.1 Bloomberg sync</w:t>
      </w:r>
      <w:r>
        <w:t xml:space="preserve"> (scope reducido) → solo Mkt_Cap ADRs + IPSA composition + cinta peers competidores. 3-5 días con cuenta lista.</w:t>
      </w:r>
    </w:p>
    <w:p>
      <w:pPr>
        <w:pStyle w:val="ListNumber"/>
      </w:pPr>
      <w:r>
        <w:rPr>
          <w:b/>
        </w:rPr>
        <w:t>§2.4 CHIST timing</w:t>
      </w:r>
      <w:r>
        <w:t xml:space="preserve"> → sin acción técnica, esperar publishing.</w:t>
      </w:r>
    </w:p>
    <w:p>
      <w:pPr>
        <w:pStyle w:val="ListNumber"/>
      </w:pPr>
      <w:r>
        <w:rPr>
          <w:b/>
        </w:rPr>
        <w:t>§2.3 archivo `19_Top_Purchases_Sales`</w:t>
      </w:r>
      <w:r>
        <w:t xml:space="preserve"> → preguntar a equipo Moneda.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Lo que NO bloquea (clarificación)</w:t>
      </w:r>
    </w:p>
    <w:p>
      <w:r>
        <w:t xml:space="preserve">Para evitar confusión, estos datos </w:t>
      </w:r>
      <w:r>
        <w:rPr>
          <w:b/>
        </w:rPr>
        <w:t>ya los tenemos</w:t>
      </w:r>
      <w:r>
        <w:t xml:space="preserve"> y no necesitan fuente externa nueva:</w:t>
      </w:r>
    </w:p>
    <w:p>
      <w:pPr>
        <w:pStyle w:val="ListBullet"/>
        <w:ind w:left="360"/>
      </w:pPr>
      <w:r>
        <w:rPr>
          <w:b/>
        </w:rPr>
        <w:t>Asset class / Region / Currency / Strategy</w:t>
      </w:r>
      <w:r>
        <w:t xml:space="preserve"> por fund → </w:t>
      </w:r>
      <w:r>
        <w:rPr>
          <w:rFonts w:ascii="Consolas" w:hAnsi="Consolas"/>
          <w:color w:val="C7254E"/>
          <w:sz w:val="20"/>
        </w:rPr>
        <w:t>dim_bd_funds</w:t>
      </w:r>
    </w:p>
    <w:p>
      <w:pPr>
        <w:pStyle w:val="ListBullet"/>
        <w:ind w:left="360"/>
      </w:pPr>
      <w:r>
        <w:rPr>
          <w:b/>
        </w:rPr>
        <w:t>Active vs Passive</w:t>
      </w:r>
      <w:r>
        <w:t xml:space="preserve"> por fund → </w:t>
      </w:r>
      <w:r>
        <w:rPr>
          <w:rFonts w:ascii="Consolas" w:hAnsi="Consolas"/>
          <w:color w:val="C7254E"/>
          <w:sz w:val="20"/>
        </w:rPr>
        <w:t>dim_bd_funds.style</w:t>
      </w:r>
      <w:r>
        <w:t xml:space="preserve"> (ETFs y index funds = Passive)</w:t>
      </w:r>
    </w:p>
    <w:p>
      <w:pPr>
        <w:pStyle w:val="ListBullet"/>
        <w:ind w:left="360"/>
      </w:pPr>
      <w:r>
        <w:rPr>
          <w:b/>
        </w:rPr>
        <w:t>Manager</w:t>
      </w:r>
      <w:r>
        <w:t xml:space="preserve"> por fund → </w:t>
      </w:r>
      <w:r>
        <w:rPr>
          <w:rFonts w:ascii="Consolas" w:hAnsi="Consolas"/>
          <w:color w:val="C7254E"/>
          <w:sz w:val="20"/>
        </w:rPr>
        <w:t>dim_bd_funds.manager</w:t>
      </w:r>
    </w:p>
    <w:p>
      <w:pPr>
        <w:pStyle w:val="ListBullet"/>
        <w:ind w:left="360"/>
      </w:pPr>
      <w:r>
        <w:rPr>
          <w:b/>
        </w:rPr>
        <w:t>AUM por fecha y AFP × fund</w:t>
      </w:r>
      <w:r>
        <w:t xml:space="preserve"> → </w:t>
      </w:r>
      <w:r>
        <w:rPr>
          <w:rFonts w:ascii="Consolas" w:hAnsi="Consolas"/>
          <w:color w:val="C7254E"/>
          <w:sz w:val="20"/>
        </w:rPr>
        <w:t>historial_carteras_full</w:t>
      </w:r>
      <w:r>
        <w:t xml:space="preserve"> + </w:t>
      </w:r>
      <w:r>
        <w:rPr>
          <w:rFonts w:ascii="Consolas" w:hAnsi="Consolas"/>
          <w:color w:val="C7254E"/>
          <w:sz w:val="20"/>
        </w:rPr>
        <w:t>sp_valor_*</w:t>
      </w:r>
    </w:p>
    <w:p>
      <w:pPr>
        <w:pStyle w:val="ListBullet"/>
        <w:ind w:left="360"/>
      </w:pPr>
      <w:r>
        <w:rPr>
          <w:b/>
        </w:rPr>
        <w:t>NAV / Uncalled / Returns por AFP × multifondo</w:t>
      </w:r>
      <w:r>
        <w:t xml:space="preserve"> → </w:t>
      </w:r>
      <w:r>
        <w:rPr>
          <w:rFonts w:ascii="Consolas" w:hAnsi="Consolas"/>
          <w:color w:val="C7254E"/>
          <w:sz w:val="20"/>
        </w:rPr>
        <w:t>valores_cuota_patrimonio</w:t>
      </w:r>
      <w:r>
        <w:t xml:space="preserve"> + </w:t>
      </w:r>
      <w:r>
        <w:rPr>
          <w:rFonts w:ascii="Consolas" w:hAnsi="Consolas"/>
          <w:color w:val="C7254E"/>
          <w:sz w:val="20"/>
        </w:rPr>
        <w:t>tipo_cambio</w:t>
      </w:r>
    </w:p>
    <w:p>
      <w:pPr>
        <w:pStyle w:val="ListBullet"/>
        <w:ind w:left="360"/>
      </w:pPr>
      <w:r>
        <w:rPr>
          <w:b/>
        </w:rPr>
        <w:t>Foreign classification (bucket × region × category)</w:t>
      </w:r>
      <w:r>
        <w:t xml:space="preserve"> → cadena </w:t>
      </w:r>
      <w:r>
        <w:rPr>
          <w:rFonts w:ascii="Consolas" w:hAnsi="Consolas"/>
          <w:color w:val="C7254E"/>
          <w:sz w:val="20"/>
        </w:rPr>
        <w:t>dim_bd_funds → dim_bd_direct_inv_lics → dim_tipo_instrumento_sp</w:t>
      </w:r>
    </w:p>
    <w:p>
      <w:pPr>
        <w:pStyle w:val="ListBullet"/>
        <w:ind w:left="360"/>
      </w:pPr>
      <w:r>
        <w:rPr>
          <w:b/>
        </w:rPr>
        <w:t>FX `USDCLP Curncy`</w:t>
      </w:r>
      <w:r>
        <w:t xml:space="preserve"> → </w:t>
      </w:r>
      <w:r>
        <w:rPr>
          <w:rFonts w:ascii="Consolas" w:hAnsi="Consolas"/>
          <w:color w:val="C7254E"/>
          <w:sz w:val="20"/>
        </w:rPr>
        <w:t>tipo_cambio</w:t>
      </w:r>
      <w:r>
        <w:t xml:space="preserve"> (Bloomberg interbank, ya sincronizado)</w:t>
      </w:r>
    </w:p>
    <w:p>
      <w:pPr>
        <w:pStyle w:val="ListBullet"/>
        <w:ind w:left="360"/>
      </w:pPr>
      <w:r>
        <w:rPr>
          <w:b/>
        </w:rPr>
        <w:t>🆕 GICS sectors</w:t>
      </w:r>
      <w:r>
        <w:t xml:space="preserve"> → </w:t>
      </w:r>
      <w:r>
        <w:rPr>
          <w:rFonts w:ascii="Consolas" w:hAnsi="Consolas"/>
          <w:color w:val="C7254E"/>
          <w:sz w:val="20"/>
        </w:rPr>
        <w:t>dim_ipd_gics</w:t>
      </w:r>
      <w:r>
        <w:t xml:space="preserve"> + </w:t>
      </w:r>
      <w:r>
        <w:rPr>
          <w:rFonts w:ascii="Consolas" w:hAnsi="Consolas"/>
          <w:color w:val="C7254E"/>
          <w:sz w:val="20"/>
        </w:rPr>
        <w:t>dim_ipd_instrumentos.sector_gics</w:t>
      </w:r>
      <w:r>
        <w:t xml:space="preserve"> (via Inteligencia_Producto_Dev sync)</w:t>
      </w:r>
    </w:p>
    <w:p>
      <w:pPr>
        <w:pStyle w:val="ListBullet"/>
        <w:ind w:left="360"/>
      </w:pPr>
      <w:r>
        <w:rPr>
          <w:b/>
        </w:rPr>
        <w:t>🆕 Chilean ticker ↔ BBG ticker mapping</w:t>
      </w:r>
      <w:r>
        <w:t xml:space="preserve"> → </w:t>
      </w:r>
      <w:r>
        <w:rPr>
          <w:rFonts w:ascii="Consolas" w:hAnsi="Consolas"/>
          <w:color w:val="C7254E"/>
          <w:sz w:val="20"/>
        </w:rPr>
        <w:t>dim_chilean_ticker_homol</w:t>
      </w:r>
      <w:r>
        <w:t xml:space="preserve"> (75 stocks, mix auto+manual)</w:t>
      </w:r>
    </w:p>
    <w:p>
      <w:pPr>
        <w:pStyle w:val="ListBullet"/>
        <w:ind w:left="360"/>
      </w:pPr>
      <w:r>
        <w:rPr>
          <w:b/>
        </w:rPr>
        <w:t>🆕 Cinta de Precios fondos Moneda</w:t>
      </w:r>
      <w:r>
        <w:t xml:space="preserve"> → </w:t>
      </w:r>
      <w:r>
        <w:rPr>
          <w:rFonts w:ascii="Consolas" w:hAnsi="Consolas"/>
          <w:color w:val="C7254E"/>
          <w:sz w:val="20"/>
        </w:rPr>
        <w:t>ipd_positions</w:t>
      </w:r>
      <w:r>
        <w:t xml:space="preserve"> + </w:t>
      </w:r>
      <w:r>
        <w:rPr>
          <w:rFonts w:ascii="Consolas" w:hAnsi="Consolas"/>
          <w:color w:val="C7254E"/>
          <w:sz w:val="20"/>
        </w:rPr>
        <w:t>ipd_cubo_final</w:t>
      </w:r>
    </w:p>
    <w:p>
      <w:pPr>
        <w:pStyle w:val="ListBullet"/>
        <w:ind w:left="360"/>
      </w:pPr>
      <w:r>
        <w:rPr>
          <w:b/>
        </w:rPr>
        <w:t>🆕 Catálogo de benchmarks (32) + métricas agregadas JPM CEMBI / RISK America</w:t>
      </w:r>
      <w:r>
        <w:t xml:space="preserve"> → </w:t>
      </w:r>
      <w:r>
        <w:rPr>
          <w:rFonts w:ascii="Consolas" w:hAnsi="Consolas"/>
          <w:color w:val="C7254E"/>
          <w:sz w:val="20"/>
        </w:rPr>
        <w:t>dim_ipd_benchmarks</w:t>
      </w:r>
      <w:r>
        <w:t xml:space="preserve"> + </w:t>
      </w:r>
      <w:r>
        <w:rPr>
          <w:rFonts w:ascii="Consolas" w:hAnsi="Consolas"/>
          <w:color w:val="C7254E"/>
          <w:sz w:val="20"/>
        </w:rPr>
        <w:t>ipd_jpm_cembi_metrics</w:t>
      </w:r>
      <w:r>
        <w:t xml:space="preserve"> + </w:t>
      </w:r>
      <w:r>
        <w:rPr>
          <w:rFonts w:ascii="Consolas" w:hAnsi="Consolas"/>
          <w:color w:val="C7254E"/>
          <w:sz w:val="20"/>
        </w:rPr>
        <w:t>ipd_risk_america_metrics</w:t>
      </w:r>
    </w:p>
    <w:p>
      <w:pPr>
        <w:pStyle w:val="ListBullet"/>
        <w:ind w:left="360"/>
      </w:pPr>
      <w:r>
        <w:rPr>
          <w:b/>
        </w:rPr>
        <w:t>🆕 Family / Strategy mapping (Moneda + 104 peers para sec 04)</w:t>
      </w:r>
      <w:r>
        <w:t xml:space="preserve"> → </w:t>
      </w:r>
      <w:r>
        <w:rPr>
          <w:rFonts w:ascii="Consolas" w:hAnsi="Consolas"/>
          <w:color w:val="C7254E"/>
          <w:sz w:val="20"/>
        </w:rPr>
        <w:t>AFP_CL_DIM_Family_Comp</w:t>
      </w:r>
      <w:r>
        <w:t xml:space="preserve"> en SQL Server (115 filas), mirror a </w:t>
      </w:r>
      <w:r>
        <w:rPr>
          <w:rFonts w:ascii="Consolas" w:hAnsi="Consolas"/>
          <w:color w:val="C7254E"/>
          <w:sz w:val="20"/>
        </w:rPr>
        <w:t>dim_bd_family_comp</w:t>
      </w:r>
      <w:r>
        <w:t xml:space="preserve"> en Supabase. Source of truth en SQL desde 2026-05-27.</w:t>
      </w:r>
    </w:p>
    <w:p>
      <w:pPr>
        <w:pStyle w:val="ListBullet"/>
        <w:ind w:left="360"/>
      </w:pPr>
      <w:r>
        <w:rPr>
          <w:b/>
        </w:rPr>
        <w:t>🆕 Cuadros SP XML (1, 2, 9, 17, 25 sin desfase) en SQL Server</w:t>
      </w:r>
      <w:r>
        <w:t xml:space="preserve"> → </w:t>
      </w:r>
      <w:r>
        <w:rPr>
          <w:rFonts w:ascii="Consolas" w:hAnsi="Consolas"/>
          <w:color w:val="C7254E"/>
          <w:sz w:val="20"/>
        </w:rPr>
        <w:t>AFP_CL_SP_Fila</w:t>
      </w:r>
      <w:r>
        <w:t xml:space="preserve"> + </w:t>
      </w:r>
      <w:r>
        <w:rPr>
          <w:rFonts w:ascii="Consolas" w:hAnsi="Consolas"/>
          <w:color w:val="C7254E"/>
          <w:sz w:val="20"/>
        </w:rPr>
        <w:t>AFP_CL_SP_Valor_Fondo</w:t>
      </w:r>
      <w:r>
        <w:t xml:space="preserve"> + </w:t>
      </w:r>
      <w:r>
        <w:rPr>
          <w:rFonts w:ascii="Consolas" w:hAnsi="Consolas"/>
          <w:color w:val="C7254E"/>
          <w:sz w:val="20"/>
        </w:rPr>
        <w:t>AFP_CL_SP_Valor_AFP</w:t>
      </w:r>
      <w:r>
        <w:t xml:space="preserve"> + </w:t>
      </w:r>
      <w:r>
        <w:rPr>
          <w:rFonts w:ascii="Consolas" w:hAnsi="Consolas"/>
          <w:color w:val="C7254E"/>
          <w:sz w:val="20"/>
        </w:rPr>
        <w:t>AFP_CL_SP_Valor_Instrumento</w:t>
      </w:r>
      <w:r>
        <w:t xml:space="preserve"> en SQL Server, mirror a </w:t>
      </w:r>
      <w:r>
        <w:rPr>
          <w:rFonts w:ascii="Consolas" w:hAnsi="Consolas"/>
          <w:color w:val="C7254E"/>
          <w:sz w:val="20"/>
        </w:rPr>
        <w:t>sp_*</w:t>
      </w:r>
      <w:r>
        <w:t xml:space="preserve"> en Supabase (ventana ≥2025-01).</w:t>
      </w:r>
    </w:p>
    <w:p>
      <w:pPr>
        <w:pStyle w:val="ListBullet"/>
        <w:ind w:left="360"/>
      </w:pPr>
      <w:r>
        <w:rPr>
          <w:b/>
        </w:rPr>
        <w:t>🆕 Cotizantes mensuales por AFP</w:t>
      </w:r>
      <w:r>
        <w:t xml:space="preserve"> → </w:t>
      </w:r>
      <w:r>
        <w:rPr>
          <w:rFonts w:ascii="Consolas" w:hAnsi="Consolas"/>
          <w:color w:val="C7254E"/>
          <w:sz w:val="20"/>
        </w:rPr>
        <w:t>AFP_CL_SP_Cotizantes</w:t>
      </w:r>
      <w:r>
        <w:t xml:space="preserve"> en SQL Server (toda historia), mirror a </w:t>
      </w:r>
      <w:r>
        <w:rPr>
          <w:rFonts w:ascii="Consolas" w:hAnsi="Consolas"/>
          <w:color w:val="C7254E"/>
          <w:sz w:val="20"/>
        </w:rPr>
        <w:t>cotizantes_afp</w:t>
      </w:r>
      <w:r>
        <w:t xml:space="preserve"> en Supabase.</w:t>
      </w:r>
    </w:p>
    <w:p>
      <w:pPr>
        <w:pStyle w:val="ListBullet"/>
        <w:ind w:left="360"/>
      </w:pPr>
      <w:r>
        <w:rPr>
          <w:b/>
        </w:rPr>
        <w:t>🆕 IPSA price + benchmarks chilenos (IGPA, IGPAM, IGPAS, MERVAL, Compass/Santander/LarrainVial/BTG/BanChile)</w:t>
      </w:r>
      <w:r>
        <w:t xml:space="preserve"> → </w:t>
      </w:r>
      <w:r>
        <w:rPr>
          <w:rFonts w:ascii="Consolas" w:hAnsi="Consolas"/>
          <w:color w:val="C7254E"/>
          <w:sz w:val="20"/>
        </w:rPr>
        <w:t>DW_MONEDA.TBL_RENTABILIDADES_DW</w:t>
      </w:r>
      <w:r>
        <w:t xml:space="preserve">. IPSA Index tiene 11,826 obs desde 1994. (Nota: lo que sí falta de IPSA es la </w:t>
      </w:r>
      <w:r>
        <w:rPr>
          <w:b/>
        </w:rPr>
        <w:t>composición</w:t>
      </w:r>
      <w:r>
        <w:t xml:space="preserve"> — constituyentes y ponderaciones — vía Bloomberg </w:t>
      </w:r>
      <w:r>
        <w:rPr>
          <w:rFonts w:ascii="Consolas" w:hAnsi="Consolas"/>
          <w:color w:val="C7254E"/>
          <w:sz w:val="20"/>
        </w:rPr>
        <w:t>BDS("IPSA Index","INDX_MWEIGHT")</w:t>
      </w:r>
      <w:r>
        <w:t>. Ver §2.1.)</w:t>
      </w:r>
    </w:p>
    <w:p>
      <w:pPr>
        <w:pStyle w:val="ListBullet"/>
        <w:ind w:left="360"/>
      </w:pPr>
      <w:r>
        <w:rPr>
          <w:b/>
        </w:rPr>
        <w:t>🆕 Mapping nemo chileno → GICS sector</w:t>
      </w:r>
      <w:r>
        <w:t xml:space="preserve"> → </w:t>
      </w:r>
      <w:r>
        <w:rPr>
          <w:rFonts w:ascii="Consolas" w:hAnsi="Consolas"/>
          <w:color w:val="C7254E"/>
          <w:sz w:val="20"/>
        </w:rPr>
        <w:t>dim_ipd_instrumentos</w:t>
      </w:r>
      <w:r>
        <w:t xml:space="preserve"> (421 instrumentos chilenos, todos con </w:t>
      </w:r>
      <w:r>
        <w:rPr>
          <w:rFonts w:ascii="Consolas" w:hAnsi="Consolas"/>
          <w:color w:val="C7254E"/>
          <w:sz w:val="20"/>
        </w:rPr>
        <w:t>sector_gics</w:t>
      </w:r>
      <w:r>
        <w:t>). Cobertura 100% para los 71 nemos distintos del Cuadro 9 (Nov-25).</w:t>
      </w:r>
    </w:p>
    <w:p>
      <w:pPr>
        <w:pStyle w:val="ListBullet"/>
        <w:ind w:left="360"/>
      </w:pPr>
      <w:r>
        <w:rPr>
          <w:b/>
        </w:rPr>
        <w:t>🆕 Valor cuota DIARIO por multifondo × AFP</w:t>
      </w:r>
      <w:r>
        <w:t xml:space="preserve"> → </w:t>
      </w:r>
      <w:r>
        <w:rPr>
          <w:rFonts w:ascii="Consolas" w:hAnsi="Consolas"/>
          <w:color w:val="C7254E"/>
          <w:sz w:val="20"/>
        </w:rPr>
        <w:t>TBL_SPE_VALORESCUOTAPATRIMONIO</w:t>
      </w:r>
      <w:r>
        <w:t xml:space="preserve"> (granularidad diaria, </w:t>
      </w:r>
      <w:r>
        <w:rPr>
          <w:b/>
        </w:rPr>
        <w:t>no</w:t>
      </w:r>
      <w:r>
        <w:t xml:space="preserve"> sólo month-end). Los CSVs A–E del Excel </w:t>
      </w:r>
      <w:r>
        <w:rPr>
          <w:rFonts w:ascii="Consolas" w:hAnsi="Consolas"/>
          <w:color w:val="C7254E"/>
          <w:sz w:val="20"/>
        </w:rPr>
        <w:t>08_Valores_Cuota</w:t>
      </w:r>
      <w:r>
        <w:t xml:space="preserve"> replican esta data, no son un gap.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Cambios</w:t>
      </w:r>
    </w:p>
    <w:p>
      <w:pPr>
        <w:pStyle w:val="Heading3"/>
      </w:pPr>
      <w:r>
        <w:t>2026-05-27</w:t>
      </w:r>
    </w:p>
    <w:p>
      <w:pPr>
        <w:pStyle w:val="ListBullet"/>
        <w:ind w:left="360"/>
      </w:pPr>
      <w:r>
        <w:rPr>
          <w:b/>
        </w:rPr>
        <w:t>🏗 Cambio arquitectónico: SP XML/Cotizantes → SQL Server → Supabase.</w:t>
      </w:r>
      <w:r>
        <w:t xml:space="preserve"> Hasta hoy los scrapers </w:t>
      </w:r>
      <w:r>
        <w:rPr>
          <w:rFonts w:ascii="Consolas" w:hAnsi="Consolas"/>
          <w:color w:val="C7254E"/>
          <w:sz w:val="20"/>
        </w:rPr>
        <w:t>sync_sp_xml.py</w:t>
      </w:r>
      <w:r>
        <w:t xml:space="preserve"> y </w:t>
      </w:r>
      <w:r>
        <w:rPr>
          <w:rFonts w:ascii="Consolas" w:hAnsi="Consolas"/>
          <w:color w:val="C7254E"/>
          <w:sz w:val="20"/>
        </w:rPr>
        <w:t>sync_sp_cotizantes.py</w:t>
      </w:r>
      <w:r>
        <w:t xml:space="preserve"> escribían directo a Supabase. Ahora persisten a SQL Server (</w:t>
      </w:r>
      <w:r>
        <w:rPr>
          <w:rFonts w:ascii="Consolas" w:hAnsi="Consolas"/>
          <w:color w:val="C7254E"/>
          <w:sz w:val="20"/>
        </w:rPr>
        <w:t>Inteligencia_Mercado.dbo.AFP_CL_SP_*</w:t>
      </w:r>
      <w:r>
        <w:t xml:space="preserve">) como source of truth con toda la historia; </w:t>
      </w:r>
      <w:r>
        <w:rPr>
          <w:rFonts w:ascii="Consolas" w:hAnsi="Consolas"/>
          <w:color w:val="C7254E"/>
          <w:sz w:val="20"/>
        </w:rPr>
        <w:t>sync_sp_sqlserver_to_supabase.py</w:t>
      </w:r>
      <w:r>
        <w:t xml:space="preserve"> replica una ventana ≥2025-01 a Supabase para el dashboard. Motivos: free tier Supabase 500 MB, resiliencia (data en dos lados), consolidación en el stack corporativo SQL. 28 meses (2024-01..2026-04) cargados via backfill, 816K filas en SQL.</w:t>
      </w:r>
    </w:p>
    <w:p>
      <w:pPr>
        <w:pStyle w:val="ListBullet"/>
        <w:ind w:left="360"/>
      </w:pPr>
      <w:r>
        <w:rPr>
          <w:b/>
        </w:rPr>
        <w:t>§Sec 04 cerrado.</w:t>
      </w:r>
      <w:r>
        <w:t xml:space="preserve"> </w:t>
      </w:r>
      <w:r>
        <w:rPr>
          <w:rFonts w:ascii="Consolas" w:hAnsi="Consolas"/>
          <w:color w:val="C7254E"/>
          <w:sz w:val="20"/>
        </w:rPr>
        <w:t>dim_bd_family_comp</w:t>
      </w:r>
      <w:r>
        <w:t xml:space="preserve"> migrado a </w:t>
      </w:r>
      <w:r>
        <w:rPr>
          <w:rFonts w:ascii="Consolas" w:hAnsi="Consolas"/>
          <w:color w:val="C7254E"/>
          <w:sz w:val="20"/>
        </w:rPr>
        <w:t>AFP_CL_DIM_Family_Comp</w:t>
      </w:r>
      <w:r>
        <w:t xml:space="preserve"> en SQL Server (115 filas: 104 Peer Group + 11 Moneda). Split-brain con </w:t>
      </w:r>
      <w:r>
        <w:rPr>
          <w:rFonts w:ascii="Consolas" w:hAnsi="Consolas"/>
          <w:color w:val="C7254E"/>
          <w:sz w:val="20"/>
        </w:rPr>
        <w:t>DIM_BD_Family_Comp</w:t>
      </w:r>
      <w:r>
        <w:t xml:space="preserve"> del equipo IM (23 stale) cerrado: nuestra tabla nueva es ahora source of truth, y </w:t>
      </w:r>
      <w:r>
        <w:rPr>
          <w:rFonts w:ascii="Consolas" w:hAnsi="Consolas"/>
          <w:color w:val="C7254E"/>
          <w:sz w:val="20"/>
        </w:rPr>
        <w:t>sync_dim_bd_family_comp</w:t>
      </w:r>
      <w:r>
        <w:t xml:space="preserve"> re-habilitado en </w:t>
      </w:r>
      <w:r>
        <w:rPr>
          <w:rFonts w:ascii="Consolas" w:hAnsi="Consolas"/>
          <w:color w:val="C7254E"/>
          <w:sz w:val="20"/>
        </w:rPr>
        <w:t>sync_sqlserver_to_supabase.py</w:t>
      </w:r>
      <w:r>
        <w:t>. La de IM queda intacta pero ya no la usamos.</w:t>
      </w:r>
    </w:p>
    <w:p>
      <w:pPr>
        <w:pStyle w:val="ListBullet"/>
        <w:ind w:left="360"/>
      </w:pPr>
      <w:r>
        <w:rPr>
          <w:b/>
        </w:rPr>
        <w:t>§2.1 Bloomberg — gap acotado.</w:t>
      </w:r>
      <w:r>
        <w:t xml:space="preserve"> Verificado que </w:t>
      </w:r>
      <w:r>
        <w:rPr>
          <w:rFonts w:ascii="Consolas" w:hAnsi="Consolas"/>
          <w:color w:val="C7254E"/>
          <w:sz w:val="20"/>
        </w:rPr>
        <w:t>DW_MONEDA.TBL_RENTABILIDADES_DW</w:t>
      </w:r>
      <w:r>
        <w:t xml:space="preserve"> tiene 1,078 instrumentcode (no sólo FX). IPSA Index, IGPA, MERVAL, benchmarks chilenos: </w:t>
      </w:r>
      <w:r>
        <w:rPr>
          <w:b/>
        </w:rPr>
        <w:t>todos están</w:t>
      </w:r>
      <w:r>
        <w:t xml:space="preserve">. Lo que sí queda como Bloomberg-only: (a) composición del IPSA (constituyentes + ponderaciones), (b) Mkt_Cap ADRs (~50 tickers), (c) cinta peers competidores no-Moneda, (d) </w:t>
      </w:r>
      <w:r>
        <w:rPr>
          <w:b/>
        </w:rPr>
        <w:t>retornos por ISIN de fondos extranjeros (~638 ISINs)</w:t>
      </w:r>
      <w:r>
        <w:t xml:space="preserve"> para sec 07/08 — verificado que ninguno de los ISINs sample del foreign portfolio está en </w:t>
      </w:r>
      <w:r>
        <w:rPr>
          <w:rFonts w:ascii="Consolas" w:hAnsi="Consolas"/>
          <w:color w:val="C7254E"/>
          <w:sz w:val="20"/>
        </w:rPr>
        <w:t>DW_MONEDA</w:t>
      </w:r>
      <w:r>
        <w:t>.</w:t>
      </w:r>
    </w:p>
    <w:p>
      <w:pPr>
        <w:pStyle w:val="ListBullet"/>
        <w:ind w:left="360"/>
      </w:pPr>
      <w:r>
        <w:rPr>
          <w:b/>
        </w:rPr>
        <w:t>§GICS — cobertura confirmada.</w:t>
      </w:r>
      <w:r>
        <w:t xml:space="preserve"> </w:t>
      </w:r>
      <w:r>
        <w:rPr>
          <w:rFonts w:ascii="Consolas" w:hAnsi="Consolas"/>
          <w:color w:val="C7254E"/>
          <w:sz w:val="20"/>
        </w:rPr>
        <w:t>dim_ipd_instrumentos.sector_gics</w:t>
      </w:r>
      <w:r>
        <w:t xml:space="preserve"> cubre el 100% de los 421 instrumentos chilenos y el 100% de los 71 nemos del Cuadro 9 (Nov-25). Sec 05 portfolio breakdown por sector ya no requiere Bloomberg.</w:t>
      </w:r>
    </w:p>
    <w:p>
      <w:pPr>
        <w:pStyle w:val="Heading3"/>
      </w:pPr>
      <w:r>
        <w:t>2026-05-22</w:t>
      </w:r>
    </w:p>
    <w:p>
      <w:pPr>
        <w:pStyle w:val="ListBullet"/>
        <w:ind w:left="360"/>
      </w:pPr>
      <w:r>
        <w:rPr>
          <w:b/>
        </w:rPr>
        <w:t>IPSA composition → Bloomberg.</w:t>
      </w:r>
      <w:r>
        <w:t xml:space="preserve"> Confirmado que la composición del IPSA no está en SQL Server: se revisaron las 107 tablas de </w:t>
      </w:r>
      <w:r>
        <w:rPr>
          <w:rFonts w:ascii="Consolas" w:hAnsi="Consolas"/>
          <w:color w:val="C7254E"/>
          <w:sz w:val="20"/>
        </w:rPr>
        <w:t>Inteligencia_Producto_Dev</w:t>
      </w:r>
      <w:r>
        <w:t xml:space="preserve">. Existe un schema </w:t>
      </w:r>
      <w:r>
        <w:rPr>
          <w:rFonts w:ascii="Consolas" w:hAnsi="Consolas"/>
          <w:color w:val="C7254E"/>
          <w:sz w:val="20"/>
        </w:rPr>
        <w:t>stock.*</w:t>
      </w:r>
      <w:r>
        <w:t xml:space="preserve"> (</w:t>
      </w:r>
      <w:r>
        <w:rPr>
          <w:rFonts w:ascii="Consolas" w:hAnsi="Consolas"/>
          <w:color w:val="C7254E"/>
          <w:sz w:val="20"/>
        </w:rPr>
        <w:t>stock.benchmarks</w:t>
      </w:r>
      <w:r>
        <w:t xml:space="preserve">, </w:t>
      </w:r>
      <w:r>
        <w:rPr>
          <w:rFonts w:ascii="Consolas" w:hAnsi="Consolas"/>
          <w:color w:val="C7254E"/>
          <w:sz w:val="20"/>
        </w:rPr>
        <w:t>stock.companias</w:t>
      </w:r>
      <w:r>
        <w:t xml:space="preserve">, </w:t>
      </w:r>
      <w:r>
        <w:rPr>
          <w:rFonts w:ascii="Consolas" w:hAnsi="Consolas"/>
          <w:color w:val="C7254E"/>
          <w:sz w:val="20"/>
        </w:rPr>
        <w:t>stock.instrumentos</w:t>
      </w:r>
      <w:r>
        <w:t xml:space="preserve">) que parece hecho para esto, pero está </w:t>
      </w:r>
      <w:r>
        <w:rPr>
          <w:b/>
        </w:rPr>
        <w:t>vacío</w:t>
      </w:r>
      <w:r>
        <w:t xml:space="preserve"> (0 filas). El Excel </w:t>
      </w:r>
      <w:r>
        <w:rPr>
          <w:rFonts w:ascii="Consolas" w:hAnsi="Consolas"/>
          <w:color w:val="C7254E"/>
          <w:sz w:val="20"/>
        </w:rPr>
        <w:t>20_Cartera_Acc_Chilenas</w:t>
      </w:r>
      <w:r>
        <w:t xml:space="preserve"> no la importa por macro — el analista pega la hoja </w:t>
      </w:r>
      <w:r>
        <w:rPr>
          <w:rFonts w:ascii="Consolas" w:hAnsi="Consolas"/>
          <w:color w:val="C7254E"/>
          <w:sz w:val="20"/>
        </w:rPr>
        <w:t>IPSA</w:t>
      </w:r>
      <w:r>
        <w:t xml:space="preserve"> a mano desde Bloomberg. Movido a §2.1.</w:t>
      </w:r>
    </w:p>
    <w:p>
      <w:pPr>
        <w:pStyle w:val="ListBullet"/>
        <w:ind w:left="360"/>
      </w:pPr>
      <w:r>
        <w:rPr>
          <w:b/>
        </w:rPr>
        <w:t>Pionero / MRV dejan de ser gap.</w:t>
      </w:r>
      <w:r>
        <w:t xml:space="preserve"> Ambos están sincronizados en </w:t>
      </w:r>
      <w:r>
        <w:rPr>
          <w:rFonts w:ascii="Consolas" w:hAnsi="Consolas"/>
          <w:color w:val="C7254E"/>
          <w:sz w:val="20"/>
        </w:rPr>
        <w:t>ipd_positions</w:t>
      </w:r>
      <w:r>
        <w:t xml:space="preserve"> como fondos Moneda (Pionero id 33, MRV id 19). §2.3 (carpeta </w:t>
      </w:r>
      <w:r>
        <w:rPr>
          <w:rFonts w:ascii="Consolas" w:hAnsi="Consolas"/>
          <w:color w:val="C7254E"/>
          <w:sz w:val="20"/>
        </w:rPr>
        <w:t>\\moneda03\...\PIONERO\</w:t>
      </w:r>
      <w:r>
        <w:t>) ya no aplica para Pionero.</w:t>
      </w:r>
    </w:p>
    <w:p>
      <w:pPr>
        <w:pStyle w:val="Heading3"/>
      </w:pPr>
      <w:r>
        <w:t>2026-05-14 → 2026-05-15</w:t>
      </w:r>
    </w:p>
    <w:p>
      <w:pPr>
        <w:pStyle w:val="ListBullet"/>
        <w:ind w:left="360"/>
      </w:pPr>
      <w:r>
        <w:rPr>
          <w:b/>
        </w:rPr>
        <w:t>§2.2 cerrado</w:t>
      </w:r>
      <w:r>
        <w:t xml:space="preserve"> — </w:t>
      </w:r>
      <w:r>
        <w:rPr>
          <w:rFonts w:ascii="Consolas" w:hAnsi="Consolas"/>
          <w:color w:val="C7254E"/>
          <w:sz w:val="20"/>
        </w:rPr>
        <w:t>Inteligencia_Producto_Dev</w:t>
      </w:r>
      <w:r>
        <w:t xml:space="preserve"> sincronizada (12 tablas, 109K rows).</w:t>
      </w:r>
    </w:p>
    <w:p>
      <w:pPr>
        <w:pStyle w:val="ListBullet"/>
        <w:ind w:left="360"/>
      </w:pPr>
      <w:r>
        <w:rPr>
          <w:b/>
        </w:rPr>
        <w:t>§2.1 Bloomberg</w:t>
      </w:r>
      <w:r>
        <w:t xml:space="preserve"> — scope reducido: GICS, cinta Moneda y benchmarks llegaron via §2.2. Quedan Mkt_Cap ADRs y cinta peers competidores.</w:t>
      </w:r>
    </w:p>
    <w:p>
      <w:pPr>
        <w:pStyle w:val="ListBullet"/>
        <w:ind w:left="360"/>
      </w:pPr>
      <w:r>
        <w:rPr>
          <w:b/>
        </w:rPr>
        <w:t>Sec 05 portfolio breakdown desbloqueado</w:t>
      </w:r>
      <w:r>
        <w:t xml:space="preserve"> (parcial) — vista </w:t>
      </w:r>
      <w:r>
        <w:rPr>
          <w:rFonts w:ascii="Consolas" w:hAnsi="Consolas"/>
          <w:color w:val="C7254E"/>
          <w:sz w:val="20"/>
        </w:rPr>
        <w:t>v_chilean_stocks_gics</w:t>
      </w:r>
      <w:r>
        <w:t xml:space="preserve"> + </w:t>
      </w:r>
      <w:r>
        <w:rPr>
          <w:rFonts w:ascii="Consolas" w:hAnsi="Consolas"/>
          <w:color w:val="C7254E"/>
          <w:sz w:val="20"/>
        </w:rPr>
        <w:t>dim_chilean_ticker_homol</w:t>
      </w:r>
      <w:r>
        <w:t xml:space="preserve"> + UI </w:t>
      </w:r>
      <w:r>
        <w:rPr>
          <w:rFonts w:ascii="Consolas" w:hAnsi="Consolas"/>
          <w:color w:val="C7254E"/>
          <w:sz w:val="20"/>
        </w:rPr>
        <w:t>/chilean-stocks</w:t>
      </w:r>
      <w:r>
        <w:t xml:space="preserve"> actualizado. 100% AUM coverage. Falta solo benchmark comparison.</w:t>
      </w:r>
    </w:p>
    <w:p>
      <w:pPr>
        <w:pStyle w:val="ListBullet"/>
        <w:ind w:left="360"/>
      </w:pPr>
      <w:r>
        <w:rPr>
          <w:b/>
        </w:rPr>
        <w:t>§2.5 agregada</w:t>
      </w:r>
      <w:r>
        <w:t xml:space="preserve"> — confirmado que distributor mapping NO está en </w:t>
      </w:r>
      <w:r>
        <w:rPr>
          <w:rFonts w:ascii="Consolas" w:hAnsi="Consolas"/>
          <w:color w:val="C7254E"/>
          <w:sz w:val="20"/>
        </w:rPr>
        <w:t>Inteligencia_Producto_Dev</w:t>
      </w:r>
      <w:r>
        <w:t xml:space="preserve">. Es 100% manual en </w:t>
      </w:r>
      <w:r>
        <w:rPr>
          <w:rFonts w:ascii="Consolas" w:hAnsi="Consolas"/>
          <w:color w:val="C7254E"/>
          <w:sz w:val="20"/>
        </w:rPr>
        <w:t>Aux1</w:t>
      </w:r>
      <w:r>
        <w:t xml:space="preserve"> del Excel. Tracking separado.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