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E85E" w14:textId="6E5FB1E0" w:rsidR="00D344FC" w:rsidRPr="00D344FC" w:rsidRDefault="00D344FC" w:rsidP="00D344FC">
      <w:proofErr w:type="spellStart"/>
      <w:r>
        <w:t>Analisis</w:t>
      </w:r>
      <w:proofErr w:type="spellEnd"/>
      <w:r>
        <w:t xml:space="preserve"> de ventas de </w:t>
      </w:r>
      <w:proofErr w:type="spellStart"/>
      <w:r>
        <w:t>adventure</w:t>
      </w:r>
      <w:proofErr w:type="spellEnd"/>
      <w:r>
        <w:t xml:space="preserve"> Works</w:t>
      </w:r>
    </w:p>
    <w:p w14:paraId="49AAB8CA" w14:textId="77777777" w:rsidR="00D344FC" w:rsidRPr="00D344FC" w:rsidRDefault="00D344FC" w:rsidP="00D344FC">
      <w:r w:rsidRPr="00D344FC">
        <w:t xml:space="preserve">El objetivo de este proyecto fue </w:t>
      </w:r>
      <w:r w:rsidRPr="00D344FC">
        <w:rPr>
          <w:b/>
          <w:bCs/>
        </w:rPr>
        <w:t>analizar la evolución de las ventas por región durante los últimos cuatro años</w:t>
      </w:r>
      <w:r w:rsidRPr="00D344FC">
        <w:t>, con el fin de identificar patrones, tendencias y oportunidades de mejora.</w:t>
      </w:r>
    </w:p>
    <w:p w14:paraId="35800037" w14:textId="77777777" w:rsidR="00D344FC" w:rsidRPr="00D344FC" w:rsidRDefault="00D344FC" w:rsidP="00D344FC">
      <w:r w:rsidRPr="00D344FC">
        <w:t xml:space="preserve">Para el análisis se utilizaron datos de la base </w:t>
      </w:r>
      <w:proofErr w:type="spellStart"/>
      <w:r w:rsidRPr="00D344FC">
        <w:rPr>
          <w:b/>
          <w:bCs/>
        </w:rPr>
        <w:t>AdventureWorks</w:t>
      </w:r>
      <w:proofErr w:type="spellEnd"/>
      <w:r w:rsidRPr="00D344FC">
        <w:rPr>
          <w:b/>
          <w:bCs/>
        </w:rPr>
        <w:t xml:space="preserve"> 2022</w:t>
      </w:r>
      <w:r w:rsidRPr="00D344FC">
        <w:t>, de la cual se extrajeron las principales tablas relacionadas con ventas.</w:t>
      </w:r>
    </w:p>
    <w:p w14:paraId="0A9507DD" w14:textId="77777777" w:rsidR="00D344FC" w:rsidRPr="00D344FC" w:rsidRDefault="00D344FC" w:rsidP="00D344FC">
      <w:r w:rsidRPr="00D344FC">
        <w:t>Las herramientas empleadas fueron:</w:t>
      </w:r>
    </w:p>
    <w:p w14:paraId="125B6083" w14:textId="77777777" w:rsidR="00D344FC" w:rsidRPr="00D344FC" w:rsidRDefault="00D344FC" w:rsidP="00D344FC">
      <w:pPr>
        <w:numPr>
          <w:ilvl w:val="0"/>
          <w:numId w:val="2"/>
        </w:numPr>
      </w:pPr>
      <w:r w:rsidRPr="00D344FC">
        <w:rPr>
          <w:b/>
          <w:bCs/>
        </w:rPr>
        <w:t>SQL</w:t>
      </w:r>
      <w:r w:rsidRPr="00D344FC">
        <w:t>, para explorar inicialmente las tablas más relevantes y realizar tareas de limpieza de datos, tales como eliminación de duplicados, normalización de contenido y reemplazo de valores nulos. Para no alterar la base original, se copiaron las tablas más importantes en una nueva base de datos que permitió modificar los datos con mayor comodidad.</w:t>
      </w:r>
    </w:p>
    <w:p w14:paraId="5692300B" w14:textId="77777777" w:rsidR="00D344FC" w:rsidRPr="00D344FC" w:rsidRDefault="00D344FC" w:rsidP="00D344FC">
      <w:pPr>
        <w:numPr>
          <w:ilvl w:val="0"/>
          <w:numId w:val="2"/>
        </w:numPr>
      </w:pPr>
      <w:r w:rsidRPr="00D344FC">
        <w:rPr>
          <w:b/>
          <w:bCs/>
        </w:rPr>
        <w:t>Python</w:t>
      </w:r>
      <w:r w:rsidRPr="00D344FC">
        <w:t xml:space="preserve">, utilizado para un </w:t>
      </w:r>
      <w:r w:rsidRPr="00D344FC">
        <w:rPr>
          <w:b/>
          <w:bCs/>
        </w:rPr>
        <w:t>análisis exploratorio de datos (EDA)</w:t>
      </w:r>
      <w:r w:rsidRPr="00D344FC">
        <w:t xml:space="preserve"> más exhaustivo y flexible, que facilitó la detección de patrones y comportamientos relevantes.</w:t>
      </w:r>
    </w:p>
    <w:p w14:paraId="414A0783" w14:textId="77777777" w:rsidR="00D344FC" w:rsidRPr="00D344FC" w:rsidRDefault="00D344FC" w:rsidP="00D344FC">
      <w:pPr>
        <w:numPr>
          <w:ilvl w:val="0"/>
          <w:numId w:val="2"/>
        </w:numPr>
        <w:pBdr>
          <w:bottom w:val="single" w:sz="6" w:space="1" w:color="auto"/>
        </w:pBdr>
      </w:pPr>
      <w:proofErr w:type="spellStart"/>
      <w:r w:rsidRPr="00D344FC">
        <w:rPr>
          <w:b/>
          <w:bCs/>
        </w:rPr>
        <w:t>Power</w:t>
      </w:r>
      <w:proofErr w:type="spellEnd"/>
      <w:r w:rsidRPr="00D344FC">
        <w:rPr>
          <w:b/>
          <w:bCs/>
        </w:rPr>
        <w:t xml:space="preserve"> BI</w:t>
      </w:r>
      <w:r w:rsidRPr="00D344FC">
        <w:t xml:space="preserve">, donde se desarrolló un </w:t>
      </w:r>
      <w:proofErr w:type="spellStart"/>
      <w:r w:rsidRPr="00D344FC">
        <w:rPr>
          <w:b/>
          <w:bCs/>
        </w:rPr>
        <w:t>dashboard</w:t>
      </w:r>
      <w:proofErr w:type="spellEnd"/>
      <w:r w:rsidRPr="00D344FC">
        <w:rPr>
          <w:b/>
          <w:bCs/>
        </w:rPr>
        <w:t xml:space="preserve"> interactivo</w:t>
      </w:r>
      <w:r w:rsidRPr="00D344FC">
        <w:t xml:space="preserve"> que resume los principales indicadores clave (</w:t>
      </w:r>
      <w:proofErr w:type="spellStart"/>
      <w:r w:rsidRPr="00D344FC">
        <w:t>KPIs</w:t>
      </w:r>
      <w:proofErr w:type="spellEnd"/>
      <w:r w:rsidRPr="00D344FC">
        <w:t>) y gráficos complementarios para apoyar la interpretación de los resultados.</w:t>
      </w:r>
    </w:p>
    <w:p w14:paraId="7B9D5D10" w14:textId="3CEC65FF" w:rsidR="007A13F5" w:rsidRPr="007A13F5" w:rsidRDefault="007A13F5" w:rsidP="007A13F5">
      <w:pPr>
        <w:ind w:left="360"/>
        <w:rPr>
          <w:b/>
          <w:bCs/>
        </w:rPr>
      </w:pPr>
      <w:proofErr w:type="spellStart"/>
      <w:r w:rsidRPr="007A13F5">
        <w:rPr>
          <w:b/>
          <w:bCs/>
        </w:rPr>
        <w:t>Dashboard</w:t>
      </w:r>
      <w:proofErr w:type="spellEnd"/>
      <w:r w:rsidRPr="007A13F5">
        <w:rPr>
          <w:b/>
          <w:bCs/>
        </w:rPr>
        <w:t xml:space="preserve"> de Ventas</w:t>
      </w:r>
    </w:p>
    <w:p w14:paraId="5F082379" w14:textId="77777777" w:rsidR="007A13F5" w:rsidRPr="007A13F5" w:rsidRDefault="007A13F5" w:rsidP="007A13F5">
      <w:pPr>
        <w:numPr>
          <w:ilvl w:val="0"/>
          <w:numId w:val="3"/>
        </w:numPr>
      </w:pPr>
      <w:r w:rsidRPr="007A13F5">
        <w:t xml:space="preserve">Tarjetas (KPI </w:t>
      </w:r>
      <w:proofErr w:type="spellStart"/>
      <w:r w:rsidRPr="007A13F5">
        <w:t>Cards</w:t>
      </w:r>
      <w:proofErr w:type="spellEnd"/>
      <w:r w:rsidRPr="007A13F5">
        <w:t xml:space="preserve">): muestran los indicadores clave: margen de ganancia, cantidad de productos vendidos, costo de ventas y ganancia bruta. Estos valores se actualizan dinámicamente en función de los filtros aplicados en los </w:t>
      </w:r>
      <w:proofErr w:type="spellStart"/>
      <w:r w:rsidRPr="007A13F5">
        <w:t>segmentadores</w:t>
      </w:r>
      <w:proofErr w:type="spellEnd"/>
      <w:r w:rsidRPr="007A13F5">
        <w:t>.</w:t>
      </w:r>
    </w:p>
    <w:p w14:paraId="5645D21D" w14:textId="77777777" w:rsidR="007A13F5" w:rsidRPr="007A13F5" w:rsidRDefault="007A13F5" w:rsidP="007A13F5">
      <w:pPr>
        <w:numPr>
          <w:ilvl w:val="0"/>
          <w:numId w:val="3"/>
        </w:numPr>
      </w:pPr>
      <w:proofErr w:type="spellStart"/>
      <w:r w:rsidRPr="007A13F5">
        <w:t>Segmentadores</w:t>
      </w:r>
      <w:proofErr w:type="spellEnd"/>
      <w:r w:rsidRPr="007A13F5">
        <w:t xml:space="preserve"> (</w:t>
      </w:r>
      <w:proofErr w:type="spellStart"/>
      <w:r w:rsidRPr="007A13F5">
        <w:t>Slicers</w:t>
      </w:r>
      <w:proofErr w:type="spellEnd"/>
      <w:r w:rsidRPr="007A13F5">
        <w:t>): permiten filtrar la información por:</w:t>
      </w:r>
    </w:p>
    <w:p w14:paraId="4F9A97B9" w14:textId="77777777" w:rsidR="007A13F5" w:rsidRPr="007A13F5" w:rsidRDefault="007A13F5" w:rsidP="007A13F5">
      <w:pPr>
        <w:numPr>
          <w:ilvl w:val="1"/>
          <w:numId w:val="3"/>
        </w:numPr>
      </w:pPr>
      <w:r w:rsidRPr="007A13F5">
        <w:t>Año (desde la segunda mitad de 2011 hasta la primera mitad de 2014).</w:t>
      </w:r>
    </w:p>
    <w:p w14:paraId="78BB7157" w14:textId="77777777" w:rsidR="007A13F5" w:rsidRPr="007A13F5" w:rsidRDefault="007A13F5" w:rsidP="007A13F5">
      <w:pPr>
        <w:numPr>
          <w:ilvl w:val="1"/>
          <w:numId w:val="3"/>
        </w:numPr>
      </w:pPr>
      <w:r w:rsidRPr="007A13F5">
        <w:t>País o zona geográfica.</w:t>
      </w:r>
    </w:p>
    <w:p w14:paraId="49F80E57" w14:textId="77777777" w:rsidR="007A13F5" w:rsidRPr="007A13F5" w:rsidRDefault="007A13F5" w:rsidP="007A13F5">
      <w:pPr>
        <w:numPr>
          <w:ilvl w:val="0"/>
          <w:numId w:val="3"/>
        </w:numPr>
      </w:pPr>
      <w:r w:rsidRPr="007A13F5">
        <w:t>Tabla: presenta el total de ventas por país durante los últimos cuatro años, facilitando la comparación directa entre regiones.</w:t>
      </w:r>
    </w:p>
    <w:p w14:paraId="4C4B03A2" w14:textId="77777777" w:rsidR="007A13F5" w:rsidRPr="007A13F5" w:rsidRDefault="007A13F5" w:rsidP="007A13F5">
      <w:pPr>
        <w:numPr>
          <w:ilvl w:val="0"/>
          <w:numId w:val="3"/>
        </w:numPr>
      </w:pPr>
      <w:r w:rsidRPr="007A13F5">
        <w:t>Gráfico de líneas: muestra la evolución de las ganancias a lo largo de los años y meses, con la posibilidad de segmentar por país.</w:t>
      </w:r>
    </w:p>
    <w:p w14:paraId="74D74A7F" w14:textId="77777777" w:rsidR="007A13F5" w:rsidRPr="007A13F5" w:rsidRDefault="007A13F5" w:rsidP="007A13F5">
      <w:pPr>
        <w:numPr>
          <w:ilvl w:val="0"/>
          <w:numId w:val="3"/>
        </w:numPr>
      </w:pPr>
      <w:r w:rsidRPr="007A13F5">
        <w:t>Gráficos de barras: ilustran cómo varían las ventas tanto en términos de ganancia como en cantidad de productos vendidos mes a mes.</w:t>
      </w:r>
    </w:p>
    <w:p w14:paraId="0251D284" w14:textId="77777777" w:rsidR="007A13F5" w:rsidRPr="007A13F5" w:rsidRDefault="007A13F5" w:rsidP="007A13F5">
      <w:pPr>
        <w:numPr>
          <w:ilvl w:val="0"/>
          <w:numId w:val="3"/>
        </w:numPr>
        <w:pBdr>
          <w:bottom w:val="single" w:sz="6" w:space="1" w:color="auto"/>
        </w:pBdr>
      </w:pPr>
      <w:r w:rsidRPr="007A13F5">
        <w:t>Gráfico KPI: se estableció un objetivo de 2 millones de ventas anuales, lo que permite visualizar de forma inmediata el cumplimiento o desvío respecto a la meta planteada.</w:t>
      </w:r>
    </w:p>
    <w:p w14:paraId="59C49F27" w14:textId="77777777" w:rsidR="00F00E4A" w:rsidRDefault="00F00E4A" w:rsidP="00F00E4A">
      <w:pPr>
        <w:ind w:left="360"/>
        <w:rPr>
          <w:rFonts w:ascii="Segoe UI Emoji" w:hAnsi="Segoe UI Emoji" w:cs="Segoe UI Emoji"/>
          <w:b/>
          <w:bCs/>
        </w:rPr>
      </w:pPr>
    </w:p>
    <w:p w14:paraId="7D77BA5A" w14:textId="77777777" w:rsidR="00F00E4A" w:rsidRDefault="00F00E4A" w:rsidP="00F00E4A">
      <w:pPr>
        <w:ind w:left="360"/>
        <w:rPr>
          <w:rFonts w:ascii="Segoe UI Emoji" w:hAnsi="Segoe UI Emoji" w:cs="Segoe UI Emoji"/>
          <w:b/>
          <w:bCs/>
        </w:rPr>
      </w:pPr>
    </w:p>
    <w:p w14:paraId="0E614C8D" w14:textId="77777777" w:rsidR="00F00E4A" w:rsidRDefault="00F00E4A" w:rsidP="00F00E4A">
      <w:pPr>
        <w:ind w:left="360"/>
        <w:rPr>
          <w:rFonts w:ascii="Segoe UI Emoji" w:hAnsi="Segoe UI Emoji" w:cs="Segoe UI Emoji"/>
          <w:b/>
          <w:bCs/>
        </w:rPr>
      </w:pPr>
    </w:p>
    <w:p w14:paraId="4FBAD114" w14:textId="77777777" w:rsidR="00F00E4A" w:rsidRDefault="00F00E4A" w:rsidP="00F00E4A">
      <w:pPr>
        <w:ind w:left="360"/>
        <w:rPr>
          <w:rFonts w:ascii="Segoe UI Emoji" w:hAnsi="Segoe UI Emoji" w:cs="Segoe UI Emoji"/>
          <w:b/>
          <w:bCs/>
        </w:rPr>
      </w:pPr>
    </w:p>
    <w:p w14:paraId="3EE70CC6" w14:textId="77777777" w:rsidR="00F00E4A" w:rsidRDefault="00F00E4A" w:rsidP="00F00E4A">
      <w:pPr>
        <w:ind w:left="360"/>
        <w:rPr>
          <w:rFonts w:ascii="Segoe UI Emoji" w:hAnsi="Segoe UI Emoji" w:cs="Segoe UI Emoji"/>
          <w:b/>
          <w:bCs/>
        </w:rPr>
      </w:pPr>
    </w:p>
    <w:p w14:paraId="62E1886D" w14:textId="34FB101A" w:rsidR="00F00E4A" w:rsidRPr="00F00E4A" w:rsidRDefault="00F00E4A" w:rsidP="00F00E4A">
      <w:pPr>
        <w:ind w:left="360"/>
        <w:rPr>
          <w:b/>
          <w:bCs/>
        </w:rPr>
      </w:pPr>
      <w:proofErr w:type="spellStart"/>
      <w:r w:rsidRPr="00F00E4A">
        <w:rPr>
          <w:b/>
          <w:bCs/>
        </w:rPr>
        <w:lastRenderedPageBreak/>
        <w:t>Dashboard</w:t>
      </w:r>
      <w:proofErr w:type="spellEnd"/>
      <w:r w:rsidRPr="00F00E4A">
        <w:rPr>
          <w:b/>
          <w:bCs/>
        </w:rPr>
        <w:t xml:space="preserve"> de Productos</w:t>
      </w:r>
    </w:p>
    <w:p w14:paraId="013BAB99" w14:textId="77777777" w:rsidR="00F00E4A" w:rsidRPr="00F00E4A" w:rsidRDefault="00F00E4A" w:rsidP="00F00E4A">
      <w:pPr>
        <w:ind w:left="360"/>
      </w:pPr>
      <w:r w:rsidRPr="00F00E4A">
        <w:t xml:space="preserve">Este </w:t>
      </w:r>
      <w:proofErr w:type="spellStart"/>
      <w:r w:rsidRPr="00F00E4A">
        <w:t>dashboard</w:t>
      </w:r>
      <w:proofErr w:type="spellEnd"/>
      <w:r w:rsidRPr="00F00E4A">
        <w:t xml:space="preserve"> se diseñó con el objetivo de analizar el comportamiento de los productos </w:t>
      </w:r>
      <w:proofErr w:type="gramStart"/>
      <w:r w:rsidRPr="00F00E4A">
        <w:t>en relación a</w:t>
      </w:r>
      <w:proofErr w:type="gramEnd"/>
      <w:r w:rsidRPr="00F00E4A">
        <w:t xml:space="preserve"> las ventas y el gasto de los clientes.</w:t>
      </w:r>
    </w:p>
    <w:p w14:paraId="6932B292" w14:textId="77777777" w:rsidR="00F00E4A" w:rsidRPr="00F00E4A" w:rsidRDefault="00F00E4A" w:rsidP="00F00E4A">
      <w:pPr>
        <w:numPr>
          <w:ilvl w:val="0"/>
          <w:numId w:val="4"/>
        </w:numPr>
      </w:pPr>
      <w:proofErr w:type="spellStart"/>
      <w:r w:rsidRPr="00F00E4A">
        <w:rPr>
          <w:b/>
          <w:bCs/>
        </w:rPr>
        <w:t>KPIs</w:t>
      </w:r>
      <w:proofErr w:type="spellEnd"/>
      <w:r w:rsidRPr="00F00E4A">
        <w:rPr>
          <w:b/>
          <w:bCs/>
        </w:rPr>
        <w:t>:</w:t>
      </w:r>
      <w:r w:rsidRPr="00F00E4A">
        <w:t xml:space="preserve"> se definió como meta que el gasto promedio por orden de compra sea de un mínimo de </w:t>
      </w:r>
      <w:r w:rsidRPr="00F00E4A">
        <w:rPr>
          <w:b/>
          <w:bCs/>
        </w:rPr>
        <w:t>$3.000</w:t>
      </w:r>
      <w:r w:rsidRPr="00F00E4A">
        <w:t>, independientemente de la moneda del país.</w:t>
      </w:r>
    </w:p>
    <w:p w14:paraId="58F96866" w14:textId="77777777" w:rsidR="00F00E4A" w:rsidRPr="00F00E4A" w:rsidRDefault="00F00E4A" w:rsidP="00F00E4A">
      <w:pPr>
        <w:numPr>
          <w:ilvl w:val="0"/>
          <w:numId w:val="4"/>
        </w:numPr>
      </w:pPr>
      <w:r w:rsidRPr="00F00E4A">
        <w:rPr>
          <w:b/>
          <w:bCs/>
        </w:rPr>
        <w:t>Gráficos de barras:</w:t>
      </w:r>
    </w:p>
    <w:p w14:paraId="732702CB" w14:textId="77777777" w:rsidR="00F00E4A" w:rsidRPr="00F00E4A" w:rsidRDefault="00F00E4A" w:rsidP="00F00E4A">
      <w:pPr>
        <w:numPr>
          <w:ilvl w:val="1"/>
          <w:numId w:val="4"/>
        </w:numPr>
      </w:pPr>
      <w:r w:rsidRPr="00F00E4A">
        <w:t>Ganancia bruta por categoría de producto (accesorios, ropa, componentes y bicicletas).</w:t>
      </w:r>
    </w:p>
    <w:p w14:paraId="3AA31B9C" w14:textId="77777777" w:rsidR="00F00E4A" w:rsidRPr="00F00E4A" w:rsidRDefault="00F00E4A" w:rsidP="00F00E4A">
      <w:pPr>
        <w:numPr>
          <w:ilvl w:val="1"/>
          <w:numId w:val="4"/>
        </w:numPr>
      </w:pPr>
      <w:r w:rsidRPr="00F00E4A">
        <w:t>Gasto promedio de cada cliente por año, lo que permite identificar variaciones en el poder adquisitivo y hábitos de consumo.</w:t>
      </w:r>
    </w:p>
    <w:p w14:paraId="1E66FEE0" w14:textId="77777777" w:rsidR="00F00E4A" w:rsidRPr="00F00E4A" w:rsidRDefault="00F00E4A" w:rsidP="00F00E4A">
      <w:pPr>
        <w:numPr>
          <w:ilvl w:val="0"/>
          <w:numId w:val="4"/>
        </w:numPr>
      </w:pPr>
      <w:r w:rsidRPr="00F00E4A">
        <w:rPr>
          <w:b/>
          <w:bCs/>
        </w:rPr>
        <w:t>Tablas:</w:t>
      </w:r>
    </w:p>
    <w:p w14:paraId="704C8AA0" w14:textId="77777777" w:rsidR="00F00E4A" w:rsidRPr="00F00E4A" w:rsidRDefault="00F00E4A" w:rsidP="00F00E4A">
      <w:pPr>
        <w:numPr>
          <w:ilvl w:val="1"/>
          <w:numId w:val="4"/>
        </w:numPr>
      </w:pPr>
      <w:r w:rsidRPr="00F00E4A">
        <w:rPr>
          <w:b/>
          <w:bCs/>
        </w:rPr>
        <w:t>Top 5 productos más vendidos.</w:t>
      </w:r>
    </w:p>
    <w:p w14:paraId="436EFF41" w14:textId="77777777" w:rsidR="00F00E4A" w:rsidRPr="00F00E4A" w:rsidRDefault="00F00E4A" w:rsidP="00F00E4A">
      <w:pPr>
        <w:numPr>
          <w:ilvl w:val="1"/>
          <w:numId w:val="4"/>
        </w:numPr>
      </w:pPr>
      <w:r w:rsidRPr="00F00E4A">
        <w:rPr>
          <w:b/>
          <w:bCs/>
        </w:rPr>
        <w:t>Top 5 productos menos vendidos.</w:t>
      </w:r>
    </w:p>
    <w:p w14:paraId="14434672" w14:textId="77777777" w:rsidR="00F00E4A" w:rsidRPr="00F00E4A" w:rsidRDefault="00F00E4A" w:rsidP="00F00E4A">
      <w:pPr>
        <w:numPr>
          <w:ilvl w:val="1"/>
          <w:numId w:val="4"/>
        </w:numPr>
      </w:pPr>
      <w:r w:rsidRPr="00F00E4A">
        <w:t>Participación de cada producto dentro de las ventas totales.</w:t>
      </w:r>
    </w:p>
    <w:p w14:paraId="73F2311E" w14:textId="77777777" w:rsidR="00F00E4A" w:rsidRPr="00F00E4A" w:rsidRDefault="00F00E4A" w:rsidP="00F00E4A">
      <w:pPr>
        <w:numPr>
          <w:ilvl w:val="0"/>
          <w:numId w:val="4"/>
        </w:numPr>
      </w:pPr>
      <w:r w:rsidRPr="00F00E4A">
        <w:rPr>
          <w:b/>
          <w:bCs/>
        </w:rPr>
        <w:t>Gráfico de torta:</w:t>
      </w:r>
      <w:r w:rsidRPr="00F00E4A">
        <w:t xml:space="preserve"> muestra la participación de cada país o zona en las ventas totales.</w:t>
      </w:r>
    </w:p>
    <w:p w14:paraId="2D534476" w14:textId="77777777" w:rsidR="00F00E4A" w:rsidRPr="00F00E4A" w:rsidRDefault="00F00E4A" w:rsidP="00F00E4A">
      <w:pPr>
        <w:numPr>
          <w:ilvl w:val="0"/>
          <w:numId w:val="4"/>
        </w:numPr>
        <w:pBdr>
          <w:bottom w:val="single" w:sz="6" w:space="1" w:color="auto"/>
        </w:pBdr>
      </w:pPr>
      <w:proofErr w:type="spellStart"/>
      <w:r w:rsidRPr="00F00E4A">
        <w:rPr>
          <w:b/>
          <w:bCs/>
        </w:rPr>
        <w:t>Segmentadores</w:t>
      </w:r>
      <w:proofErr w:type="spellEnd"/>
      <w:r w:rsidRPr="00F00E4A">
        <w:rPr>
          <w:b/>
          <w:bCs/>
        </w:rPr>
        <w:t>:</w:t>
      </w:r>
      <w:r w:rsidRPr="00F00E4A">
        <w:t xml:space="preserve"> filtros por año y por zona geográfica, en línea con lo implementado en el </w:t>
      </w:r>
      <w:proofErr w:type="spellStart"/>
      <w:r w:rsidRPr="00F00E4A">
        <w:t>dashboard</w:t>
      </w:r>
      <w:proofErr w:type="spellEnd"/>
      <w:r w:rsidRPr="00F00E4A">
        <w:t xml:space="preserve"> de ventas.</w:t>
      </w:r>
    </w:p>
    <w:p w14:paraId="2CD9F7E6" w14:textId="69AEBBA4" w:rsidR="009564C2" w:rsidRPr="0059075C" w:rsidRDefault="00147A18" w:rsidP="0059075C">
      <w:pPr>
        <w:rPr>
          <w:b/>
          <w:bCs/>
        </w:rPr>
      </w:pPr>
      <w:r w:rsidRPr="00147A18">
        <w:rPr>
          <w:b/>
          <w:bCs/>
        </w:rPr>
        <w:t xml:space="preserve"> Resultados / Análisis</w:t>
      </w:r>
    </w:p>
    <w:p w14:paraId="7EEBA2E3" w14:textId="77777777" w:rsidR="0059075C" w:rsidRPr="0059075C" w:rsidRDefault="0059075C" w:rsidP="0059075C">
      <w:pPr>
        <w:ind w:left="360"/>
      </w:pPr>
      <w:r w:rsidRPr="0059075C">
        <w:rPr>
          <w:b/>
          <w:bCs/>
        </w:rPr>
        <w:t>Evolución de las ventas por año</w:t>
      </w:r>
    </w:p>
    <w:p w14:paraId="30D4E856" w14:textId="77777777" w:rsidR="0059075C" w:rsidRPr="0059075C" w:rsidRDefault="0059075C" w:rsidP="0059075C">
      <w:pPr>
        <w:numPr>
          <w:ilvl w:val="0"/>
          <w:numId w:val="7"/>
        </w:numPr>
      </w:pPr>
      <w:r w:rsidRPr="0059075C">
        <w:rPr>
          <w:b/>
          <w:bCs/>
        </w:rPr>
        <w:t>Segunda mitad de 2011:</w:t>
      </w:r>
    </w:p>
    <w:p w14:paraId="72E1E71B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Ingresos: 1,63 millones de dólares.</w:t>
      </w:r>
    </w:p>
    <w:p w14:paraId="5F6BFC08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Ventas: ~13.000 productos.</w:t>
      </w:r>
    </w:p>
    <w:p w14:paraId="4CB0973F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Margen: 13%.</w:t>
      </w:r>
    </w:p>
    <w:p w14:paraId="2DA72BA6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Los países con mayor ganancia fueron Estados Unidos y Australia (~615 mil USD cada uno), mientras que Canadá, Alemania y Francia fueron los de menor contribución.</w:t>
      </w:r>
    </w:p>
    <w:p w14:paraId="01423808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Mayor ganancia registrada en los meses de octubre, noviembre y diciembre.</w:t>
      </w:r>
    </w:p>
    <w:p w14:paraId="646C2B46" w14:textId="77777777" w:rsidR="0059075C" w:rsidRPr="0059075C" w:rsidRDefault="0059075C" w:rsidP="0059075C">
      <w:pPr>
        <w:numPr>
          <w:ilvl w:val="0"/>
          <w:numId w:val="7"/>
        </w:numPr>
      </w:pPr>
      <w:r w:rsidRPr="0059075C">
        <w:rPr>
          <w:b/>
          <w:bCs/>
        </w:rPr>
        <w:t>2012:</w:t>
      </w:r>
    </w:p>
    <w:p w14:paraId="24C50841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Ganancia total: menos de 1 millón de dólares a pesar de quintuplicar la cantidad de productos vendidos.</w:t>
      </w:r>
    </w:p>
    <w:p w14:paraId="35DA732A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Margen reducido al 3%.</w:t>
      </w:r>
    </w:p>
    <w:p w14:paraId="1880EC06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Pérdidas en abril y ganancias muy bajas el resto del año.</w:t>
      </w:r>
    </w:p>
    <w:p w14:paraId="24EB6CE3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Australia mantuvo un aumento de casi 30% en ingresos; Alemania y Francia crecieron 100% y 65% respectivamente.</w:t>
      </w:r>
    </w:p>
    <w:p w14:paraId="76BCF79C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lastRenderedPageBreak/>
        <w:t>Canadá y EE. UU. tuvieron pérdidas significativas respecto a 2011, mientras que Reino Unido mostró ganancias modestas (~25%).</w:t>
      </w:r>
    </w:p>
    <w:p w14:paraId="4A740FE3" w14:textId="77777777" w:rsidR="0059075C" w:rsidRPr="0059075C" w:rsidRDefault="0059075C" w:rsidP="0059075C">
      <w:pPr>
        <w:numPr>
          <w:ilvl w:val="0"/>
          <w:numId w:val="7"/>
        </w:numPr>
      </w:pPr>
      <w:r w:rsidRPr="0059075C">
        <w:rPr>
          <w:b/>
          <w:bCs/>
        </w:rPr>
        <w:t>2013:</w:t>
      </w:r>
    </w:p>
    <w:p w14:paraId="619246D0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Se superó el objetivo anual de 1,75 millones USD, alcanzando una ganancia bruta de 3,35 millones.</w:t>
      </w:r>
    </w:p>
    <w:p w14:paraId="43B3811D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Ventas: 131.788 productos.</w:t>
      </w:r>
    </w:p>
    <w:p w14:paraId="586D106C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Mayor incremento de ganancias en los meses de septiembre a diciembre.</w:t>
      </w:r>
    </w:p>
    <w:p w14:paraId="6B1BE5BC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Crecimiento notable por país: Alemania +80%, Francia +130%, Reino Unido +170%, recuperación de EE. UU. con 850 mil USD, y Canadá con 159 mil USD.</w:t>
      </w:r>
    </w:p>
    <w:p w14:paraId="284949B8" w14:textId="77777777" w:rsidR="0059075C" w:rsidRPr="0059075C" w:rsidRDefault="0059075C" w:rsidP="0059075C">
      <w:pPr>
        <w:numPr>
          <w:ilvl w:val="0"/>
          <w:numId w:val="7"/>
        </w:numPr>
      </w:pPr>
      <w:r w:rsidRPr="0059075C">
        <w:rPr>
          <w:b/>
          <w:bCs/>
        </w:rPr>
        <w:t>Primera mitad de 2014:</w:t>
      </w:r>
    </w:p>
    <w:p w14:paraId="1E9DEB64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Ganancia bruta: 3,44 millones USD, superando la ganancia total del año anterior.</w:t>
      </w:r>
    </w:p>
    <w:p w14:paraId="2B5C231C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Ventas: 61.659 productos.</w:t>
      </w:r>
    </w:p>
    <w:p w14:paraId="08BBC377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Margen: 17%.</w:t>
      </w:r>
    </w:p>
    <w:p w14:paraId="26465AFD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Australia presentó una disminución del 20% respecto a 2013, mientras que EE. UU. aumentó a 1,18 millones USD.</w:t>
      </w:r>
    </w:p>
    <w:p w14:paraId="741D5C92" w14:textId="77777777" w:rsidR="0059075C" w:rsidRPr="0059075C" w:rsidRDefault="0059075C" w:rsidP="0059075C">
      <w:pPr>
        <w:numPr>
          <w:ilvl w:val="1"/>
          <w:numId w:val="7"/>
        </w:numPr>
      </w:pPr>
      <w:r w:rsidRPr="0059075C">
        <w:t>Alemania, Francia, Reino Unido y Canadá se mantienen estables, considerando que los datos solo incluyen la primera mitad del año.</w:t>
      </w:r>
    </w:p>
    <w:p w14:paraId="7937CE7A" w14:textId="77777777" w:rsidR="0029746F" w:rsidRPr="0029746F" w:rsidRDefault="0029746F" w:rsidP="0029746F">
      <w:pPr>
        <w:ind w:left="360"/>
      </w:pPr>
      <w:proofErr w:type="spellStart"/>
      <w:r w:rsidRPr="0029746F">
        <w:rPr>
          <w:b/>
          <w:bCs/>
        </w:rPr>
        <w:t>Insights</w:t>
      </w:r>
      <w:proofErr w:type="spellEnd"/>
      <w:r w:rsidRPr="0029746F">
        <w:rPr>
          <w:b/>
          <w:bCs/>
        </w:rPr>
        <w:t xml:space="preserve"> clave</w:t>
      </w:r>
    </w:p>
    <w:p w14:paraId="6CF92231" w14:textId="77777777" w:rsidR="0029746F" w:rsidRPr="0029746F" w:rsidRDefault="0029746F" w:rsidP="0029746F">
      <w:pPr>
        <w:numPr>
          <w:ilvl w:val="0"/>
          <w:numId w:val="8"/>
        </w:numPr>
      </w:pPr>
      <w:r w:rsidRPr="0029746F">
        <w:t>Se observa una recuperación progresiva de las ganancias a partir de 2013 después de un 2012 con bajo margen.</w:t>
      </w:r>
    </w:p>
    <w:p w14:paraId="2CA1A604" w14:textId="77777777" w:rsidR="0029746F" w:rsidRPr="0029746F" w:rsidRDefault="0029746F" w:rsidP="0029746F">
      <w:pPr>
        <w:numPr>
          <w:ilvl w:val="0"/>
          <w:numId w:val="8"/>
        </w:numPr>
      </w:pPr>
      <w:r w:rsidRPr="0029746F">
        <w:t>Australia y EE. UU. son los principales generadores de ingresos, aunque con variaciones anuales.</w:t>
      </w:r>
    </w:p>
    <w:p w14:paraId="506AB6CD" w14:textId="77777777" w:rsidR="0029746F" w:rsidRPr="0029746F" w:rsidRDefault="0029746F" w:rsidP="0029746F">
      <w:pPr>
        <w:numPr>
          <w:ilvl w:val="0"/>
          <w:numId w:val="8"/>
        </w:numPr>
      </w:pPr>
      <w:r w:rsidRPr="0029746F">
        <w:t>Alemania, Francia y Reino Unido muestran un crecimiento constante y recuperación fuerte en 2013 y 2014.</w:t>
      </w:r>
    </w:p>
    <w:p w14:paraId="28F3BE06" w14:textId="77777777" w:rsidR="0029746F" w:rsidRPr="0029746F" w:rsidRDefault="0029746F" w:rsidP="0029746F">
      <w:pPr>
        <w:numPr>
          <w:ilvl w:val="0"/>
          <w:numId w:val="8"/>
        </w:numPr>
      </w:pPr>
      <w:r w:rsidRPr="0029746F">
        <w:t>El margen global aumentó del 3% en 2012 al 17% en la primera mitad de 2014.</w:t>
      </w:r>
    </w:p>
    <w:p w14:paraId="29CDC712" w14:textId="77777777" w:rsidR="0029746F" w:rsidRPr="0029746F" w:rsidRDefault="0029746F" w:rsidP="0029746F">
      <w:pPr>
        <w:numPr>
          <w:ilvl w:val="0"/>
          <w:numId w:val="8"/>
        </w:numPr>
      </w:pPr>
      <w:r w:rsidRPr="0029746F">
        <w:t>El comportamiento estacional es evidente: mayores ingresos en el último trimestre de cada año.</w:t>
      </w:r>
    </w:p>
    <w:p w14:paraId="61F183BE" w14:textId="1177E0E5" w:rsidR="009564C2" w:rsidRDefault="0029746F" w:rsidP="0059075C">
      <w:pPr>
        <w:ind w:left="360"/>
      </w:pPr>
      <w:r w:rsidRPr="0029746F">
        <w:rPr>
          <w:b/>
          <w:bCs/>
        </w:rPr>
        <w:t>CONCLUSIONES:</w:t>
      </w:r>
      <w:r>
        <w:br/>
      </w:r>
      <w:r w:rsidRPr="0029746F">
        <w:t>Se observa que la empresa ha mejorado su rentabilidad desde 2013, con un margen más alto y ventas más consistentes, especialmente en EE. UU. y Australia. Esto indica que las estrategias de ventas y promoción están dando resultados positivos.</w:t>
      </w:r>
    </w:p>
    <w:p w14:paraId="11EE9DB8" w14:textId="633BC1F7" w:rsidR="0029746F" w:rsidRPr="0029746F" w:rsidRDefault="0029746F" w:rsidP="0029746F">
      <w:pPr>
        <w:ind w:left="360"/>
        <w:rPr>
          <w:b/>
          <w:bCs/>
        </w:rPr>
      </w:pPr>
      <w:r w:rsidRPr="0029746F">
        <w:rPr>
          <w:b/>
          <w:bCs/>
        </w:rPr>
        <w:t>RECOMENDACIONES:</w:t>
      </w:r>
    </w:p>
    <w:p w14:paraId="0A254F2C" w14:textId="77777777" w:rsidR="0029746F" w:rsidRPr="0029746F" w:rsidRDefault="0029746F" w:rsidP="0029746F">
      <w:pPr>
        <w:numPr>
          <w:ilvl w:val="1"/>
          <w:numId w:val="9"/>
        </w:numPr>
      </w:pPr>
      <w:r w:rsidRPr="0029746F">
        <w:t>Potenciar campañas en países con bajo desempeño como Canadá o Francia.</w:t>
      </w:r>
    </w:p>
    <w:p w14:paraId="545B0EB8" w14:textId="77777777" w:rsidR="0029746F" w:rsidRPr="0029746F" w:rsidRDefault="0029746F" w:rsidP="0029746F">
      <w:pPr>
        <w:numPr>
          <w:ilvl w:val="1"/>
          <w:numId w:val="9"/>
        </w:numPr>
      </w:pPr>
      <w:r w:rsidRPr="0029746F">
        <w:t>Revisar precios o costos en 2012 para evitar márgenes bajos.</w:t>
      </w:r>
    </w:p>
    <w:p w14:paraId="44508A7A" w14:textId="77777777" w:rsidR="0029746F" w:rsidRPr="0029746F" w:rsidRDefault="0029746F" w:rsidP="0029746F">
      <w:pPr>
        <w:numPr>
          <w:ilvl w:val="1"/>
          <w:numId w:val="9"/>
        </w:numPr>
      </w:pPr>
      <w:r w:rsidRPr="0029746F">
        <w:t>Aprovechar la estacionalidad del último trimestre con promociones estratégicas.</w:t>
      </w:r>
    </w:p>
    <w:p w14:paraId="60DD37CB" w14:textId="068D1519" w:rsidR="0029746F" w:rsidRPr="0029746F" w:rsidRDefault="0029746F" w:rsidP="0029746F">
      <w:pPr>
        <w:ind w:left="360"/>
      </w:pPr>
    </w:p>
    <w:p w14:paraId="2D3FAB0E" w14:textId="77777777" w:rsidR="0029746F" w:rsidRDefault="0029746F" w:rsidP="0059075C">
      <w:pPr>
        <w:ind w:left="360"/>
      </w:pPr>
    </w:p>
    <w:sectPr w:rsidR="0029746F" w:rsidSect="00D344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451E7"/>
    <w:multiLevelType w:val="multilevel"/>
    <w:tmpl w:val="A042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406BE"/>
    <w:multiLevelType w:val="multilevel"/>
    <w:tmpl w:val="A192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2787A"/>
    <w:multiLevelType w:val="multilevel"/>
    <w:tmpl w:val="5D92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34E30"/>
    <w:multiLevelType w:val="multilevel"/>
    <w:tmpl w:val="8430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331F4"/>
    <w:multiLevelType w:val="multilevel"/>
    <w:tmpl w:val="5950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36818"/>
    <w:multiLevelType w:val="multilevel"/>
    <w:tmpl w:val="4F4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66BA4"/>
    <w:multiLevelType w:val="multilevel"/>
    <w:tmpl w:val="61F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D3A04"/>
    <w:multiLevelType w:val="multilevel"/>
    <w:tmpl w:val="EA9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86E6B"/>
    <w:multiLevelType w:val="multilevel"/>
    <w:tmpl w:val="A69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673880">
    <w:abstractNumId w:val="8"/>
  </w:num>
  <w:num w:numId="2" w16cid:durableId="1070545448">
    <w:abstractNumId w:val="4"/>
  </w:num>
  <w:num w:numId="3" w16cid:durableId="1019236756">
    <w:abstractNumId w:val="7"/>
  </w:num>
  <w:num w:numId="4" w16cid:durableId="396786823">
    <w:abstractNumId w:val="5"/>
  </w:num>
  <w:num w:numId="5" w16cid:durableId="515773176">
    <w:abstractNumId w:val="2"/>
  </w:num>
  <w:num w:numId="6" w16cid:durableId="1303315063">
    <w:abstractNumId w:val="1"/>
  </w:num>
  <w:num w:numId="7" w16cid:durableId="636303481">
    <w:abstractNumId w:val="0"/>
  </w:num>
  <w:num w:numId="8" w16cid:durableId="1183592247">
    <w:abstractNumId w:val="6"/>
  </w:num>
  <w:num w:numId="9" w16cid:durableId="118032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6F"/>
    <w:rsid w:val="0011675D"/>
    <w:rsid w:val="00147A18"/>
    <w:rsid w:val="00167064"/>
    <w:rsid w:val="00281331"/>
    <w:rsid w:val="0029746F"/>
    <w:rsid w:val="003E4F42"/>
    <w:rsid w:val="00410810"/>
    <w:rsid w:val="005225FE"/>
    <w:rsid w:val="0059075C"/>
    <w:rsid w:val="0071261F"/>
    <w:rsid w:val="00731EE0"/>
    <w:rsid w:val="007326A9"/>
    <w:rsid w:val="007A13F5"/>
    <w:rsid w:val="008A376F"/>
    <w:rsid w:val="009564C2"/>
    <w:rsid w:val="00D344FC"/>
    <w:rsid w:val="00F0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5001"/>
  <w15:chartTrackingRefBased/>
  <w15:docId w15:val="{821FE166-C921-46EC-A8C7-BEA731E5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3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3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3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3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3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3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3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3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3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3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3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37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37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37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37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37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37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3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3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3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3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37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37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37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3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37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3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841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agustintadeolora@hotmail.com</dc:creator>
  <cp:keywords/>
  <dc:description/>
  <cp:lastModifiedBy>agustintadeolora@hotmail.com</cp:lastModifiedBy>
  <cp:revision>2</cp:revision>
  <dcterms:created xsi:type="dcterms:W3CDTF">2025-08-29T02:16:00Z</dcterms:created>
  <dcterms:modified xsi:type="dcterms:W3CDTF">2025-08-29T05:05:00Z</dcterms:modified>
</cp:coreProperties>
</file>