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3864"/>
          <w:sz w:val="40"/>
          <w:szCs w:val="40"/>
        </w:rPr>
        <w:t xml:space="preserve">TRACKING PLAN</w:t>
      </w:r>
    </w:p>
    <w:p>
      <w:pPr>
        <w:spacing w:after="40"/>
      </w:pPr>
      <w:r>
        <w:rPr>
          <w:b/>
          <w:bCs/>
          <w:color w:val="2A78D6"/>
          <w:sz w:val="26"/>
          <w:szCs w:val="26"/>
        </w:rPr>
        <w:t xml:space="preserve">Reducing drop-off between product view and add to cart</w:t>
      </w:r>
    </w:p>
    <w:p>
      <w:pPr>
        <w:spacing w:after="300"/>
      </w:pPr>
      <w:r>
        <w:rPr>
          <w:i/>
          <w:iCs/>
          <w:color w:val="52514E"/>
          <w:sz w:val="20"/>
          <w:szCs w:val="20"/>
        </w:rPr>
        <w:t xml:space="preserve">Case study · Google Merchandise Store (public GA4 / BigQuery dataset)</w:t>
      </w:r>
    </w:p>
    <w:p>
      <w:pPr>
        <w:spacing w:after="40"/>
      </w:pPr>
      <w:r>
        <w:rPr>
          <w:color w:val="1A1A1A"/>
          <w:sz w:val="19"/>
          <w:szCs w:val="19"/>
        </w:rPr>
        <w:t xml:space="preserve">Agustina Gorni — Analytics Lead Specialist</w:t>
      </w:r>
    </w:p>
    <w:p>
      <w:pPr>
        <w:spacing w:after="40"/>
      </w:pPr>
      <w:r>
        <w:rPr>
          <w:color w:val="52514E"/>
          <w:sz w:val="19"/>
          <w:szCs w:val="19"/>
        </w:rPr>
        <w:t xml:space="preserve">Case study portfolio · Adobe Analytics / Customer Journey Analytics</w:t>
      </w:r>
    </w:p>
    <w:p>
      <w:pPr>
        <w:pBdr>
          <w:bottom w:val="single" w:color="C3C2B7" w:sz="4" w:space="6"/>
        </w:pBdr>
        <w:spacing w:after="300"/>
      </w:pPr>
      <w:r>
        <w:rPr>
          <w:sz w:val="2"/>
          <w:szCs w:val="2"/>
        </w:rPr>
        <w:t xml:space="preserve"/>
      </w:r>
    </w:p>
    <w:p>
      <w:pPr>
        <w:spacing w:after="100"/>
      </w:pPr>
      <w:r>
        <w:rPr>
          <w:i/>
          <w:iCs/>
          <w:color w:val="52514E"/>
          <w:sz w:val="18"/>
          <w:szCs w:val="18"/>
        </w:rPr>
        <w:t xml:space="preserve">Methodology note: this document simulates an Adobe Analytics / Customer Journey Analytics tracking plan built from real GA4 event data from the Google Merchandise Store (public BigQuery dataset). The goal is to demonstrate the process of translating a business objective into an actionable measurement spec — it does not represent a real implementation for any client or employer.</w:t>
      </w:r>
    </w:p>
    <w:p>
      <w:pPr>
        <w:pStyle w:val="Heading1"/>
        <w:pBdr>
          <w:bottom w:val="single" w:color="1F3864" w:sz="6" w:space="4"/>
        </w:pBdr>
        <w:spacing w:after="160" w:before="360"/>
      </w:pPr>
      <w:r>
        <w:rPr>
          <w:b/>
          <w:bCs/>
          <w:color w:val="1F3864"/>
          <w:sz w:val="26"/>
          <w:szCs w:val="26"/>
        </w:rPr>
        <w:t xml:space="preserve">1. Case context</w:t>
      </w:r>
    </w:p>
    <w:p>
      <w:pPr>
        <w:spacing w:after="160" w:line="300"/>
      </w:pPr>
      <w:r>
        <w:rPr>
          <w:color w:val="1A1A1A"/>
          <w:sz w:val="21"/>
          <w:szCs w:val="21"/>
        </w:rPr>
        <w:t xml:space="preserve">The exploratory analysis of the purchase funnel (Nov 2020 – Jan 2021, on real GA4 event data from the Google Merchandise Store) found that the biggest leak isn't at checkout, as is often assumed, but at the step right before it: only 19.8% of users who view a product add it to their cart. Once it's added, the rest of the funnel converts reasonably well (74.5% to checkout, 73.2% from payment info to purchase).</w:t>
      </w:r>
    </w:p>
    <w:p>
      <w:pPr>
        <w:spacing w:after="160" w:line="300"/>
      </w:pPr>
      <w:r>
        <w:rPr>
          <w:color w:val="1A1A1A"/>
          <w:sz w:val="21"/>
          <w:szCs w:val="21"/>
        </w:rPr>
        <w:t xml:space="preserve">This finding reframes the optimization priority: the problem isn't payment friction, it's intent or persuasion on the product detail page (PDP).</w:t>
      </w:r>
    </w:p>
    <w:p>
      <w:pPr>
        <w:pStyle w:val="Heading2"/>
        <w:spacing w:after="120" w:before="240"/>
      </w:pPr>
      <w:r>
        <w:rPr>
          <w:b/>
          <w:bCs/>
          <w:color w:val="2A78D6"/>
          <w:sz w:val="22"/>
          <w:szCs w:val="22"/>
        </w:rPr>
        <w:t xml:space="preserve">Key findings from the exploratory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600"/>
        <w:gridCol w:w="2360"/>
      </w:tblGrid>
      <w:tr>
        <w:tc>
          <w:tcPr>
            <w:tcW w:type="dxa" w:w="2600"/>
            <w:shd w:fill="1F3864" w:val="clear"/>
            <w:tcMar>
              <w:top w:type="dxa" w:w="80"/>
              <w:left w:type="dxa" w:w="100"/>
              <w:bottom w:type="dxa" w:w="80"/>
              <w:right w:type="dxa" w:w="100"/>
            </w:tcMar>
            <w:vAlign w:val="center"/>
          </w:tcPr>
          <w:p>
            <w:r>
              <w:rPr>
                <w:b/>
                <w:bCs/>
                <w:color w:val="FFFFFF"/>
                <w:sz w:val="18"/>
                <w:szCs w:val="18"/>
              </w:rPr>
              <w:t xml:space="preserve">Funnel step</w:t>
            </w:r>
          </w:p>
        </w:tc>
        <w:tc>
          <w:tcPr>
            <w:tcW w:type="dxa" w:w="1800"/>
            <w:shd w:fill="1F3864" w:val="clear"/>
            <w:tcMar>
              <w:top w:type="dxa" w:w="80"/>
              <w:left w:type="dxa" w:w="100"/>
              <w:bottom w:type="dxa" w:w="80"/>
              <w:right w:type="dxa" w:w="100"/>
            </w:tcMar>
            <w:vAlign w:val="center"/>
          </w:tcPr>
          <w:p>
            <w:r>
              <w:rPr>
                <w:b/>
                <w:bCs/>
                <w:color w:val="FFFFFF"/>
                <w:sz w:val="18"/>
                <w:szCs w:val="18"/>
              </w:rPr>
              <w:t xml:space="preserve">Users</w:t>
            </w:r>
          </w:p>
        </w:tc>
        <w:tc>
          <w:tcPr>
            <w:tcW w:type="dxa" w:w="2600"/>
            <w:shd w:fill="1F3864" w:val="clear"/>
            <w:tcMar>
              <w:top w:type="dxa" w:w="80"/>
              <w:left w:type="dxa" w:w="100"/>
              <w:bottom w:type="dxa" w:w="80"/>
              <w:right w:type="dxa" w:w="100"/>
            </w:tcMar>
            <w:vAlign w:val="center"/>
          </w:tcPr>
          <w:p>
            <w:r>
              <w:rPr>
                <w:b/>
                <w:bCs/>
                <w:color w:val="FFFFFF"/>
                <w:sz w:val="18"/>
                <w:szCs w:val="18"/>
              </w:rPr>
              <w:t xml:space="preserve">Conversion to next step</w:t>
            </w:r>
          </w:p>
        </w:tc>
        <w:tc>
          <w:tcPr>
            <w:tcW w:type="dxa" w:w="2360"/>
            <w:shd w:fill="1F3864" w:val="clear"/>
            <w:tcMar>
              <w:top w:type="dxa" w:w="80"/>
              <w:left w:type="dxa" w:w="100"/>
              <w:bottom w:type="dxa" w:w="80"/>
              <w:right w:type="dxa" w:w="100"/>
            </w:tcMar>
            <w:vAlign w:val="center"/>
          </w:tcPr>
          <w:p>
            <w:r>
              <w:rPr>
                <w:b/>
                <w:bCs/>
                <w:color w:val="FFFFFF"/>
                <w:sz w:val="18"/>
                <w:szCs w:val="18"/>
              </w:rPr>
              <w:t xml:space="preserve">Reading</w:t>
            </w:r>
          </w:p>
        </w:tc>
      </w:tr>
      <w:tr>
        <w:tc>
          <w:tcPr>
            <w:tcW w:type="dxa" w:w="2600"/>
            <w:shd w:fill="FFFFFF" w:val="clear"/>
            <w:tcMar>
              <w:top w:type="dxa" w:w="80"/>
              <w:left w:type="dxa" w:w="100"/>
              <w:bottom w:type="dxa" w:w="80"/>
              <w:right w:type="dxa" w:w="100"/>
            </w:tcMar>
            <w:vAlign w:val="center"/>
          </w:tcPr>
          <w:p>
            <w:r>
              <w:rPr>
                <w:b w:val="false"/>
                <w:bCs w:val="false"/>
                <w:color w:val="1A1A1A"/>
                <w:sz w:val="18"/>
                <w:szCs w:val="18"/>
              </w:rPr>
              <w:t xml:space="preserve">view_item</w:t>
            </w:r>
          </w:p>
        </w:tc>
        <w:tc>
          <w:tcPr>
            <w:tcW w:type="dxa" w:w="1800"/>
            <w:shd w:fill="FFFFFF" w:val="clear"/>
            <w:tcMar>
              <w:top w:type="dxa" w:w="80"/>
              <w:left w:type="dxa" w:w="100"/>
              <w:bottom w:type="dxa" w:w="80"/>
              <w:right w:type="dxa" w:w="100"/>
            </w:tcMar>
            <w:vAlign w:val="center"/>
          </w:tcPr>
          <w:p>
            <w:r>
              <w:rPr>
                <w:b w:val="false"/>
                <w:bCs w:val="false"/>
                <w:color w:val="1A1A1A"/>
                <w:sz w:val="18"/>
                <w:szCs w:val="18"/>
              </w:rPr>
              <w:t xml:space="preserve">72,533</w:t>
            </w:r>
          </w:p>
        </w:tc>
        <w:tc>
          <w:tcPr>
            <w:tcW w:type="dxa" w:w="2600"/>
            <w:shd w:fill="FFFFFF" w:val="clear"/>
            <w:tcMar>
              <w:top w:type="dxa" w:w="80"/>
              <w:left w:type="dxa" w:w="100"/>
              <w:bottom w:type="dxa" w:w="80"/>
              <w:right w:type="dxa" w:w="100"/>
            </w:tcMar>
            <w:vAlign w:val="center"/>
          </w:tcPr>
          <w:p>
            <w:r>
              <w:rPr>
                <w:b w:val="false"/>
                <w:bCs w:val="false"/>
                <w:color w:val="1A1A1A"/>
                <w:sz w:val="18"/>
                <w:szCs w:val="18"/>
              </w:rPr>
              <w:t xml:space="preserve">→ 19.8%</w:t>
            </w:r>
          </w:p>
        </w:tc>
        <w:tc>
          <w:tcPr>
            <w:tcW w:type="dxa" w:w="2360"/>
            <w:shd w:fill="FFFFFF" w:val="clear"/>
            <w:tcMar>
              <w:top w:type="dxa" w:w="80"/>
              <w:left w:type="dxa" w:w="100"/>
              <w:bottom w:type="dxa" w:w="80"/>
              <w:right w:type="dxa" w:w="100"/>
            </w:tcMar>
            <w:vAlign w:val="center"/>
          </w:tcPr>
          <w:p>
            <w:r>
              <w:rPr>
                <w:b w:val="false"/>
                <w:bCs w:val="false"/>
                <w:color w:val="1A1A1A"/>
                <w:sz w:val="18"/>
                <w:szCs w:val="18"/>
              </w:rPr>
              <w:t xml:space="preserve">Biggest leak in the funnel</w:t>
            </w:r>
          </w:p>
        </w:tc>
      </w:tr>
      <w:tr>
        <w:tc>
          <w:tcPr>
            <w:tcW w:type="dxa" w:w="2600"/>
            <w:shd w:fill="F1EFE8" w:val="clear"/>
            <w:tcMar>
              <w:top w:type="dxa" w:w="80"/>
              <w:left w:type="dxa" w:w="100"/>
              <w:bottom w:type="dxa" w:w="80"/>
              <w:right w:type="dxa" w:w="100"/>
            </w:tcMar>
            <w:vAlign w:val="center"/>
          </w:tcPr>
          <w:p>
            <w:r>
              <w:rPr>
                <w:b w:val="false"/>
                <w:bCs w:val="false"/>
                <w:color w:val="1A1A1A"/>
                <w:sz w:val="18"/>
                <w:szCs w:val="18"/>
              </w:rPr>
              <w:t xml:space="preserve">add_to_cart</w:t>
            </w:r>
          </w:p>
        </w:tc>
        <w:tc>
          <w:tcPr>
            <w:tcW w:type="dxa" w:w="1800"/>
            <w:shd w:fill="F1EFE8" w:val="clear"/>
            <w:tcMar>
              <w:top w:type="dxa" w:w="80"/>
              <w:left w:type="dxa" w:w="100"/>
              <w:bottom w:type="dxa" w:w="80"/>
              <w:right w:type="dxa" w:w="100"/>
            </w:tcMar>
            <w:vAlign w:val="center"/>
          </w:tcPr>
          <w:p>
            <w:r>
              <w:rPr>
                <w:b w:val="false"/>
                <w:bCs w:val="false"/>
                <w:color w:val="1A1A1A"/>
                <w:sz w:val="18"/>
                <w:szCs w:val="18"/>
              </w:rPr>
              <w:t xml:space="preserve">14,393</w:t>
            </w:r>
          </w:p>
        </w:tc>
        <w:tc>
          <w:tcPr>
            <w:tcW w:type="dxa" w:w="2600"/>
            <w:shd w:fill="F1EFE8" w:val="clear"/>
            <w:tcMar>
              <w:top w:type="dxa" w:w="80"/>
              <w:left w:type="dxa" w:w="100"/>
              <w:bottom w:type="dxa" w:w="80"/>
              <w:right w:type="dxa" w:w="100"/>
            </w:tcMar>
            <w:vAlign w:val="center"/>
          </w:tcPr>
          <w:p>
            <w:r>
              <w:rPr>
                <w:b w:val="false"/>
                <w:bCs w:val="false"/>
                <w:color w:val="1A1A1A"/>
                <w:sz w:val="18"/>
                <w:szCs w:val="18"/>
              </w:rPr>
              <w:t xml:space="preserve">→ 74.5%</w:t>
            </w:r>
          </w:p>
        </w:tc>
        <w:tc>
          <w:tcPr>
            <w:tcW w:type="dxa" w:w="2360"/>
            <w:shd w:fill="F1EFE8" w:val="clear"/>
            <w:tcMar>
              <w:top w:type="dxa" w:w="80"/>
              <w:left w:type="dxa" w:w="100"/>
              <w:bottom w:type="dxa" w:w="80"/>
              <w:right w:type="dxa" w:w="100"/>
            </w:tcMar>
            <w:vAlign w:val="center"/>
          </w:tcPr>
          <w:p>
            <w:r>
              <w:rPr>
                <w:b w:val="false"/>
                <w:bCs w:val="false"/>
                <w:color w:val="1A1A1A"/>
                <w:sz w:val="18"/>
                <w:szCs w:val="18"/>
              </w:rPr>
              <w:t xml:space="preserve">Good continuity once there's intent</w:t>
            </w:r>
          </w:p>
        </w:tc>
      </w:tr>
      <w:tr>
        <w:tc>
          <w:tcPr>
            <w:tcW w:type="dxa" w:w="2600"/>
            <w:shd w:fill="FFFFFF" w:val="clear"/>
            <w:tcMar>
              <w:top w:type="dxa" w:w="80"/>
              <w:left w:type="dxa" w:w="100"/>
              <w:bottom w:type="dxa" w:w="80"/>
              <w:right w:type="dxa" w:w="100"/>
            </w:tcMar>
            <w:vAlign w:val="center"/>
          </w:tcPr>
          <w:p>
            <w:r>
              <w:rPr>
                <w:b w:val="false"/>
                <w:bCs w:val="false"/>
                <w:color w:val="1A1A1A"/>
                <w:sz w:val="18"/>
                <w:szCs w:val="18"/>
              </w:rPr>
              <w:t xml:space="preserve">begin_checkout</w:t>
            </w:r>
          </w:p>
        </w:tc>
        <w:tc>
          <w:tcPr>
            <w:tcW w:type="dxa" w:w="1800"/>
            <w:shd w:fill="FFFFFF" w:val="clear"/>
            <w:tcMar>
              <w:top w:type="dxa" w:w="80"/>
              <w:left w:type="dxa" w:w="100"/>
              <w:bottom w:type="dxa" w:w="80"/>
              <w:right w:type="dxa" w:w="100"/>
            </w:tcMar>
            <w:vAlign w:val="center"/>
          </w:tcPr>
          <w:p>
            <w:r>
              <w:rPr>
                <w:b w:val="false"/>
                <w:bCs w:val="false"/>
                <w:color w:val="1A1A1A"/>
                <w:sz w:val="18"/>
                <w:szCs w:val="18"/>
              </w:rPr>
              <w:t xml:space="preserve">10,716</w:t>
            </w:r>
          </w:p>
        </w:tc>
        <w:tc>
          <w:tcPr>
            <w:tcW w:type="dxa" w:w="2600"/>
            <w:shd w:fill="FFFFFF" w:val="clear"/>
            <w:tcMar>
              <w:top w:type="dxa" w:w="80"/>
              <w:left w:type="dxa" w:w="100"/>
              <w:bottom w:type="dxa" w:w="80"/>
              <w:right w:type="dxa" w:w="100"/>
            </w:tcMar>
            <w:vAlign w:val="center"/>
          </w:tcPr>
          <w:p>
            <w:r>
              <w:rPr>
                <w:b w:val="false"/>
                <w:bCs w:val="false"/>
                <w:color w:val="1A1A1A"/>
                <w:sz w:val="18"/>
                <w:szCs w:val="18"/>
              </w:rPr>
              <w:t xml:space="preserve">→ 61.2%</w:t>
            </w:r>
          </w:p>
        </w:tc>
        <w:tc>
          <w:tcPr>
            <w:tcW w:type="dxa" w:w="2360"/>
            <w:shd w:fill="FFFFFF" w:val="clear"/>
            <w:tcMar>
              <w:top w:type="dxa" w:w="80"/>
              <w:left w:type="dxa" w:w="100"/>
              <w:bottom w:type="dxa" w:w="80"/>
              <w:right w:type="dxa" w:w="100"/>
            </w:tcMar>
            <w:vAlign w:val="center"/>
          </w:tcPr>
          <w:p>
            <w:r>
              <w:rPr>
                <w:b w:val="false"/>
                <w:bCs w:val="false"/>
                <w:color w:val="1A1A1A"/>
                <w:sz w:val="18"/>
                <w:szCs w:val="18"/>
              </w:rPr>
              <w:t xml:space="preserve">Moderate, expected drop-off</w:t>
            </w:r>
          </w:p>
        </w:tc>
      </w:tr>
      <w:tr>
        <w:tc>
          <w:tcPr>
            <w:tcW w:type="dxa" w:w="2600"/>
            <w:shd w:fill="F1EFE8" w:val="clear"/>
            <w:tcMar>
              <w:top w:type="dxa" w:w="80"/>
              <w:left w:type="dxa" w:w="100"/>
              <w:bottom w:type="dxa" w:w="80"/>
              <w:right w:type="dxa" w:w="100"/>
            </w:tcMar>
            <w:vAlign w:val="center"/>
          </w:tcPr>
          <w:p>
            <w:r>
              <w:rPr>
                <w:b w:val="false"/>
                <w:bCs w:val="false"/>
                <w:color w:val="1A1A1A"/>
                <w:sz w:val="18"/>
                <w:szCs w:val="18"/>
              </w:rPr>
              <w:t xml:space="preserve">add_payment_info</w:t>
            </w:r>
          </w:p>
        </w:tc>
        <w:tc>
          <w:tcPr>
            <w:tcW w:type="dxa" w:w="1800"/>
            <w:shd w:fill="F1EFE8" w:val="clear"/>
            <w:tcMar>
              <w:top w:type="dxa" w:w="80"/>
              <w:left w:type="dxa" w:w="100"/>
              <w:bottom w:type="dxa" w:w="80"/>
              <w:right w:type="dxa" w:w="100"/>
            </w:tcMar>
            <w:vAlign w:val="center"/>
          </w:tcPr>
          <w:p>
            <w:r>
              <w:rPr>
                <w:b w:val="false"/>
                <w:bCs w:val="false"/>
                <w:color w:val="1A1A1A"/>
                <w:sz w:val="18"/>
                <w:szCs w:val="18"/>
              </w:rPr>
              <w:t xml:space="preserve">6,553</w:t>
            </w:r>
          </w:p>
        </w:tc>
        <w:tc>
          <w:tcPr>
            <w:tcW w:type="dxa" w:w="2600"/>
            <w:shd w:fill="F1EFE8" w:val="clear"/>
            <w:tcMar>
              <w:top w:type="dxa" w:w="80"/>
              <w:left w:type="dxa" w:w="100"/>
              <w:bottom w:type="dxa" w:w="80"/>
              <w:right w:type="dxa" w:w="100"/>
            </w:tcMar>
            <w:vAlign w:val="center"/>
          </w:tcPr>
          <w:p>
            <w:r>
              <w:rPr>
                <w:b w:val="false"/>
                <w:bCs w:val="false"/>
                <w:color w:val="1A1A1A"/>
                <w:sz w:val="18"/>
                <w:szCs w:val="18"/>
              </w:rPr>
              <w:t xml:space="preserve">→ 73.2%</w:t>
            </w:r>
          </w:p>
        </w:tc>
        <w:tc>
          <w:tcPr>
            <w:tcW w:type="dxa" w:w="2360"/>
            <w:shd w:fill="F1EFE8" w:val="clear"/>
            <w:tcMar>
              <w:top w:type="dxa" w:w="80"/>
              <w:left w:type="dxa" w:w="100"/>
              <w:bottom w:type="dxa" w:w="80"/>
              <w:right w:type="dxa" w:w="100"/>
            </w:tcMar>
            <w:vAlign w:val="center"/>
          </w:tcPr>
          <w:p>
            <w:r>
              <w:rPr>
                <w:b w:val="false"/>
                <w:bCs w:val="false"/>
                <w:color w:val="1A1A1A"/>
                <w:sz w:val="18"/>
                <w:szCs w:val="18"/>
              </w:rPr>
              <w:t xml:space="preserve">Healthy conversion</w:t>
            </w:r>
          </w:p>
        </w:tc>
      </w:tr>
      <w:tr>
        <w:tc>
          <w:tcPr>
            <w:tcW w:type="dxa" w:w="2600"/>
            <w:shd w:fill="FFFFFF" w:val="clear"/>
            <w:tcMar>
              <w:top w:type="dxa" w:w="80"/>
              <w:left w:type="dxa" w:w="100"/>
              <w:bottom w:type="dxa" w:w="80"/>
              <w:right w:type="dxa" w:w="100"/>
            </w:tcMar>
            <w:vAlign w:val="center"/>
          </w:tcPr>
          <w:p>
            <w:r>
              <w:rPr>
                <w:b w:val="false"/>
                <w:bCs w:val="false"/>
                <w:color w:val="1A1A1A"/>
                <w:sz w:val="18"/>
                <w:szCs w:val="18"/>
              </w:rPr>
              <w:t xml:space="preserve">purchase</w:t>
            </w:r>
          </w:p>
        </w:tc>
        <w:tc>
          <w:tcPr>
            <w:tcW w:type="dxa" w:w="1800"/>
            <w:shd w:fill="FFFFFF" w:val="clear"/>
            <w:tcMar>
              <w:top w:type="dxa" w:w="80"/>
              <w:left w:type="dxa" w:w="100"/>
              <w:bottom w:type="dxa" w:w="80"/>
              <w:right w:type="dxa" w:w="100"/>
            </w:tcMar>
            <w:vAlign w:val="center"/>
          </w:tcPr>
          <w:p>
            <w:r>
              <w:rPr>
                <w:b w:val="false"/>
                <w:bCs w:val="false"/>
                <w:color w:val="1A1A1A"/>
                <w:sz w:val="18"/>
                <w:szCs w:val="18"/>
              </w:rPr>
              <w:t xml:space="preserve">4,794</w:t>
            </w:r>
          </w:p>
        </w:tc>
        <w:tc>
          <w:tcPr>
            <w:tcW w:type="dxa" w:w="2600"/>
            <w:shd w:fill="FFFFFF" w:val="clear"/>
            <w:tcMar>
              <w:top w:type="dxa" w:w="80"/>
              <w:left w:type="dxa" w:w="100"/>
              <w:bottom w:type="dxa" w:w="80"/>
              <w:right w:type="dxa" w:w="100"/>
            </w:tcMar>
            <w:vAlign w:val="center"/>
          </w:tcPr>
          <w:p>
            <w:r>
              <w:rPr>
                <w:b w:val="false"/>
                <w:bCs w:val="false"/>
                <w:color w:val="1A1A1A"/>
                <w:sz w:val="18"/>
                <w:szCs w:val="18"/>
              </w:rPr>
              <w:t xml:space="preserve">—</w:t>
            </w:r>
          </w:p>
        </w:tc>
        <w:tc>
          <w:tcPr>
            <w:tcW w:type="dxa" w:w="2360"/>
            <w:shd w:fill="FFFFFF" w:val="clear"/>
            <w:tcMar>
              <w:top w:type="dxa" w:w="80"/>
              <w:left w:type="dxa" w:w="100"/>
              <w:bottom w:type="dxa" w:w="80"/>
              <w:right w:type="dxa" w:w="100"/>
            </w:tcMar>
            <w:vAlign w:val="center"/>
          </w:tcPr>
          <w:p>
            <w:r>
              <w:rPr>
                <w:b w:val="false"/>
                <w:bCs w:val="false"/>
                <w:color w:val="1A1A1A"/>
                <w:sz w:val="18"/>
                <w:szCs w:val="18"/>
              </w:rPr>
              <w:t xml:space="preserve">6.6% total conversion view_item → purchase</w:t>
            </w:r>
          </w:p>
        </w:tc>
      </w:tr>
    </w:tbl>
    <w:p>
      <w:pPr>
        <w:spacing w:before="200"/>
      </w:pPr>
    </w:p>
    <w:p>
      <w:pPr>
        <w:spacing w:after="160" w:line="300"/>
      </w:pPr>
      <w:r>
        <w:rPr>
          <w:color w:val="1A1A1A"/>
          <w:sz w:val="21"/>
          <w:szCs w:val="21"/>
        </w:rPr>
        <w:t xml:space="preserve">The breakdown by channel and device adds further context: referral (shop.googlemerchandisestore.com) converts better (9.2%) than CPC (4.8%), and the gap between devices is smaller than expected (desktop 7.0%, mobile 7.5%, tablet 6.7%) — the assumption that "mobile converts worse" doesn't hold up against this data.</w:t>
      </w:r>
    </w:p>
    <w:p>
      <w:pPr>
        <w:pStyle w:val="Heading1"/>
        <w:pBdr>
          <w:bottom w:val="single" w:color="1F3864" w:sz="6" w:space="4"/>
        </w:pBdr>
        <w:spacing w:after="160" w:before="360"/>
      </w:pPr>
      <w:r>
        <w:rPr>
          <w:b/>
          <w:bCs/>
          <w:color w:val="1F3864"/>
          <w:sz w:val="26"/>
          <w:szCs w:val="26"/>
        </w:rPr>
        <w:t xml:space="preserve">2. Business objective</w:t>
      </w:r>
    </w:p>
    <w:p>
      <w:pPr>
        <w:spacing w:after="160" w:line="300"/>
      </w:pPr>
      <w:r>
        <w:rPr>
          <w:color w:val="1A1A1A"/>
          <w:sz w:val="21"/>
          <w:szCs w:val="21"/>
        </w:rPr>
        <w:t xml:space="preserve">Reduce the drop-off between viewing a product (view_item) and adding it to the cart (add_to_cart), currently at 80.2%, by identifying where in the PDP experience purchase intent is lost and whether that behavior varies by traffic source, device, or product/category.</w:t>
      </w:r>
    </w:p>
    <w:p>
      <w:pPr>
        <w:pStyle w:val="Heading2"/>
        <w:spacing w:after="120" w:before="240"/>
      </w:pPr>
      <w:r>
        <w:rPr>
          <w:b/>
          <w:bCs/>
          <w:color w:val="2A78D6"/>
          <w:sz w:val="22"/>
          <w:szCs w:val="22"/>
        </w:rPr>
        <w:t xml:space="preserve">Business questions</w:t>
      </w:r>
    </w:p>
    <w:p>
      <w:pPr>
        <w:pStyle w:val="ListParagraph"/>
        <w:numPr>
          <w:ilvl w:val="0"/>
          <w:numId w:val="2"/>
        </w:numPr>
        <w:spacing w:after="80" w:line="280"/>
      </w:pPr>
      <w:r>
        <w:rPr>
          <w:color w:val="1A1A1A"/>
          <w:sz w:val="21"/>
          <w:szCs w:val="21"/>
        </w:rPr>
        <w:t xml:space="preserve">At what point in the PDP visit is the user lost: before engaging with the CTA, after engaging but not completing, or due to stock/price issues?</w:t>
      </w:r>
    </w:p>
    <w:p>
      <w:pPr>
        <w:pStyle w:val="ListParagraph"/>
        <w:numPr>
          <w:ilvl w:val="0"/>
          <w:numId w:val="2"/>
        </w:numPr>
        <w:spacing w:after="80" w:line="280"/>
      </w:pPr>
      <w:r>
        <w:rPr>
          <w:color w:val="1A1A1A"/>
          <w:sz w:val="21"/>
          <w:szCs w:val="21"/>
        </w:rPr>
        <w:t xml:space="preserve">Does drop-off behavior vary by acquisition channel or device?</w:t>
      </w:r>
    </w:p>
    <w:p>
      <w:pPr>
        <w:pStyle w:val="ListParagraph"/>
        <w:numPr>
          <w:ilvl w:val="0"/>
          <w:numId w:val="2"/>
        </w:numPr>
        <w:spacing w:after="80" w:line="280"/>
      </w:pPr>
      <w:r>
        <w:rPr>
          <w:color w:val="1A1A1A"/>
          <w:sz w:val="21"/>
          <w:szCs w:val="21"/>
        </w:rPr>
        <w:t xml:space="preserve">Are there products or categories with consistently lower add-to-cart rates than the rest?</w:t>
      </w:r>
    </w:p>
    <w:p>
      <w:pPr>
        <w:pStyle w:val="ListParagraph"/>
        <w:numPr>
          <w:ilvl w:val="0"/>
          <w:numId w:val="2"/>
        </w:numPr>
        <w:spacing w:after="80" w:line="280"/>
      </w:pPr>
      <w:r>
        <w:rPr>
          <w:color w:val="1A1A1A"/>
          <w:sz w:val="21"/>
          <w:szCs w:val="21"/>
        </w:rPr>
        <w:t xml:space="preserve">Did the user reach the PDP via internal search, category browsing, or a promotion — and does that influence conversion to cart?</w:t>
      </w:r>
    </w:p>
    <w:p>
      <w:pPr>
        <w:pStyle w:val="Heading1"/>
        <w:pBdr>
          <w:bottom w:val="single" w:color="1F3864" w:sz="6" w:space="4"/>
        </w:pBdr>
        <w:spacing w:after="160" w:before="360"/>
      </w:pPr>
      <w:r>
        <w:rPr>
          <w:b/>
          <w:bCs/>
          <w:color w:val="1F3864"/>
          <w:sz w:val="26"/>
          <w:szCs w:val="26"/>
        </w:rPr>
        <w:t xml:space="preserve">3. Tracking plan — Events</w:t>
      </w:r>
    </w:p>
    <w:p>
      <w:pPr>
        <w:spacing w:after="160" w:line="300"/>
      </w:pPr>
      <w:r>
        <w:rPr>
          <w:color w:val="1A1A1A"/>
          <w:sz w:val="21"/>
          <w:szCs w:val="21"/>
        </w:rPr>
        <w:t xml:space="preserve">Mapping of the events already available in the GA4 dataset to Adobe Analytics success-event logic, prioritized by relevance to the business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400"/>
        <w:gridCol w:w="2400"/>
        <w:gridCol w:w="1360"/>
      </w:tblGrid>
      <w:tr>
        <w:tc>
          <w:tcPr>
            <w:tcW w:type="dxa" w:w="1500"/>
            <w:shd w:fill="1F3864" w:val="clear"/>
            <w:tcMar>
              <w:top w:type="dxa" w:w="80"/>
              <w:left w:type="dxa" w:w="100"/>
              <w:bottom w:type="dxa" w:w="80"/>
              <w:right w:type="dxa" w:w="100"/>
            </w:tcMar>
            <w:vAlign w:val="center"/>
          </w:tcPr>
          <w:p>
            <w:r>
              <w:rPr>
                <w:b/>
                <w:bCs/>
                <w:color w:val="FFFFFF"/>
                <w:sz w:val="18"/>
                <w:szCs w:val="18"/>
              </w:rPr>
              <w:t xml:space="preserve">GA4 event</w:t>
            </w:r>
          </w:p>
        </w:tc>
        <w:tc>
          <w:tcPr>
            <w:tcW w:type="dxa" w:w="1700"/>
            <w:shd w:fill="1F3864" w:val="clear"/>
            <w:tcMar>
              <w:top w:type="dxa" w:w="80"/>
              <w:left w:type="dxa" w:w="100"/>
              <w:bottom w:type="dxa" w:w="80"/>
              <w:right w:type="dxa" w:w="100"/>
            </w:tcMar>
            <w:vAlign w:val="center"/>
          </w:tcPr>
          <w:p>
            <w:r>
              <w:rPr>
                <w:b/>
                <w:bCs/>
                <w:color w:val="FFFFFF"/>
                <w:sz w:val="18"/>
                <w:szCs w:val="18"/>
              </w:rPr>
              <w:t xml:space="preserve">AA event</w:t>
            </w:r>
          </w:p>
        </w:tc>
        <w:tc>
          <w:tcPr>
            <w:tcW w:type="dxa" w:w="2400"/>
            <w:shd w:fill="1F3864" w:val="clear"/>
            <w:tcMar>
              <w:top w:type="dxa" w:w="80"/>
              <w:left w:type="dxa" w:w="100"/>
              <w:bottom w:type="dxa" w:w="80"/>
              <w:right w:type="dxa" w:w="100"/>
            </w:tcMar>
            <w:vAlign w:val="center"/>
          </w:tcPr>
          <w:p>
            <w:r>
              <w:rPr>
                <w:b/>
                <w:bCs/>
                <w:color w:val="FFFFFF"/>
                <w:sz w:val="18"/>
                <w:szCs w:val="18"/>
              </w:rPr>
              <w:t xml:space="preserve">Trigger</w:t>
            </w:r>
          </w:p>
        </w:tc>
        <w:tc>
          <w:tcPr>
            <w:tcW w:type="dxa" w:w="2400"/>
            <w:shd w:fill="1F3864" w:val="clear"/>
            <w:tcMar>
              <w:top w:type="dxa" w:w="80"/>
              <w:left w:type="dxa" w:w="100"/>
              <w:bottom w:type="dxa" w:w="80"/>
              <w:right w:type="dxa" w:w="100"/>
            </w:tcMar>
            <w:vAlign w:val="center"/>
          </w:tcPr>
          <w:p>
            <w:r>
              <w:rPr>
                <w:b/>
                <w:bCs/>
                <w:color w:val="FFFFFF"/>
                <w:sz w:val="18"/>
                <w:szCs w:val="18"/>
              </w:rPr>
              <w:t xml:space="preserve">Associated eVars / props</w:t>
            </w:r>
          </w:p>
        </w:tc>
        <w:tc>
          <w:tcPr>
            <w:tcW w:type="dxa" w:w="1360"/>
            <w:shd w:fill="1F3864" w:val="clear"/>
            <w:tcMar>
              <w:top w:type="dxa" w:w="80"/>
              <w:left w:type="dxa" w:w="100"/>
              <w:bottom w:type="dxa" w:w="80"/>
              <w:right w:type="dxa" w:w="100"/>
            </w:tcMar>
            <w:vAlign w:val="center"/>
          </w:tcPr>
          <w:p>
            <w:r>
              <w:rPr>
                <w:b/>
                <w:bCs/>
                <w:color w:val="FFFFFF"/>
                <w:sz w:val="18"/>
                <w:szCs w:val="18"/>
              </w:rPr>
              <w:t xml:space="preserve">Priority</w:t>
            </w:r>
          </w:p>
        </w:tc>
      </w:tr>
      <w:tr>
        <w:tc>
          <w:tcPr>
            <w:tcW w:type="dxa" w:w="1500"/>
            <w:shd w:fill="FFFFFF" w:val="clear"/>
            <w:tcMar>
              <w:top w:type="dxa" w:w="80"/>
              <w:left w:type="dxa" w:w="100"/>
              <w:bottom w:type="dxa" w:w="80"/>
              <w:right w:type="dxa" w:w="100"/>
            </w:tcMar>
            <w:vAlign w:val="center"/>
          </w:tcPr>
          <w:p>
            <w:r>
              <w:rPr>
                <w:b w:val="false"/>
                <w:bCs w:val="false"/>
                <w:color w:val="1A1A1A"/>
                <w:sz w:val="18"/>
                <w:szCs w:val="18"/>
              </w:rPr>
              <w:t xml:space="preserve">view_item</w:t>
            </w:r>
          </w:p>
        </w:tc>
        <w:tc>
          <w:tcPr>
            <w:tcW w:type="dxa" w:w="1700"/>
            <w:shd w:fill="FFFFFF" w:val="clear"/>
            <w:tcMar>
              <w:top w:type="dxa" w:w="80"/>
              <w:left w:type="dxa" w:w="100"/>
              <w:bottom w:type="dxa" w:w="80"/>
              <w:right w:type="dxa" w:w="100"/>
            </w:tcMar>
            <w:vAlign w:val="center"/>
          </w:tcPr>
          <w:p>
            <w:r>
              <w:rPr>
                <w:b w:val="false"/>
                <w:bCs w:val="false"/>
                <w:color w:val="1A1A1A"/>
                <w:sz w:val="18"/>
                <w:szCs w:val="18"/>
              </w:rPr>
              <w:t xml:space="preserve">event1 – Product View</w:t>
            </w:r>
          </w:p>
        </w:tc>
        <w:tc>
          <w:tcPr>
            <w:tcW w:type="dxa" w:w="2400"/>
            <w:shd w:fill="FFFFFF" w:val="clear"/>
            <w:tcMar>
              <w:top w:type="dxa" w:w="80"/>
              <w:left w:type="dxa" w:w="100"/>
              <w:bottom w:type="dxa" w:w="80"/>
              <w:right w:type="dxa" w:w="100"/>
            </w:tcMar>
            <w:vAlign w:val="center"/>
          </w:tcPr>
          <w:p>
            <w:r>
              <w:rPr>
                <w:b w:val="false"/>
                <w:bCs w:val="false"/>
                <w:color w:val="1A1A1A"/>
                <w:sz w:val="18"/>
                <w:szCs w:val="18"/>
              </w:rPr>
              <w:t xml:space="preserve">Full PDP load</w:t>
            </w:r>
          </w:p>
        </w:tc>
        <w:tc>
          <w:tcPr>
            <w:tcW w:type="dxa" w:w="2400"/>
            <w:shd w:fill="FFFFFF" w:val="clear"/>
            <w:tcMar>
              <w:top w:type="dxa" w:w="80"/>
              <w:left w:type="dxa" w:w="100"/>
              <w:bottom w:type="dxa" w:w="80"/>
              <w:right w:type="dxa" w:w="100"/>
            </w:tcMar>
            <w:vAlign w:val="center"/>
          </w:tcPr>
          <w:p>
            <w:r>
              <w:rPr>
                <w:b w:val="false"/>
                <w:bCs w:val="false"/>
                <w:color w:val="1A1A1A"/>
                <w:sz w:val="18"/>
                <w:szCs w:val="18"/>
              </w:rPr>
              <w:t xml:space="preserve">eVar1 Product ID, eVar2 Category, eVar3 Price Tier</w:t>
            </w:r>
          </w:p>
        </w:tc>
        <w:tc>
          <w:tcPr>
            <w:tcW w:type="dxa" w:w="1360"/>
            <w:shd w:fill="FFFFFF" w:val="clear"/>
            <w:tcMar>
              <w:top w:type="dxa" w:w="80"/>
              <w:left w:type="dxa" w:w="100"/>
              <w:bottom w:type="dxa" w:w="80"/>
              <w:right w:type="dxa" w:w="100"/>
            </w:tcMar>
            <w:vAlign w:val="center"/>
          </w:tcPr>
          <w:p>
            <w:r>
              <w:rPr>
                <w:b w:val="false"/>
                <w:bCs w:val="false"/>
                <w:color w:val="1A1A1A"/>
                <w:sz w:val="18"/>
                <w:szCs w:val="18"/>
              </w:rPr>
              <w:t xml:space="preserve">High</w:t>
            </w:r>
          </w:p>
        </w:tc>
      </w:tr>
      <w:tr>
        <w:tc>
          <w:tcPr>
            <w:tcW w:type="dxa" w:w="1500"/>
            <w:shd w:fill="F1EFE8" w:val="clear"/>
            <w:tcMar>
              <w:top w:type="dxa" w:w="80"/>
              <w:left w:type="dxa" w:w="100"/>
              <w:bottom w:type="dxa" w:w="80"/>
              <w:right w:type="dxa" w:w="100"/>
            </w:tcMar>
            <w:vAlign w:val="center"/>
          </w:tcPr>
          <w:p>
            <w:r>
              <w:rPr>
                <w:b w:val="false"/>
                <w:bCs w:val="false"/>
                <w:color w:val="1A1A1A"/>
                <w:sz w:val="18"/>
                <w:szCs w:val="18"/>
              </w:rPr>
              <w:t xml:space="preserve">select_item</w:t>
            </w:r>
          </w:p>
        </w:tc>
        <w:tc>
          <w:tcPr>
            <w:tcW w:type="dxa" w:w="1700"/>
            <w:shd w:fill="F1EFE8" w:val="clear"/>
            <w:tcMar>
              <w:top w:type="dxa" w:w="80"/>
              <w:left w:type="dxa" w:w="100"/>
              <w:bottom w:type="dxa" w:w="80"/>
              <w:right w:type="dxa" w:w="100"/>
            </w:tcMar>
            <w:vAlign w:val="center"/>
          </w:tcPr>
          <w:p>
            <w:r>
              <w:rPr>
                <w:b w:val="false"/>
                <w:bCs w:val="false"/>
                <w:color w:val="1A1A1A"/>
                <w:sz w:val="18"/>
                <w:szCs w:val="18"/>
              </w:rPr>
              <w:t xml:space="preserve">event2 – Product Click</w:t>
            </w:r>
          </w:p>
        </w:tc>
        <w:tc>
          <w:tcPr>
            <w:tcW w:type="dxa" w:w="2400"/>
            <w:shd w:fill="F1EFE8" w:val="clear"/>
            <w:tcMar>
              <w:top w:type="dxa" w:w="80"/>
              <w:left w:type="dxa" w:w="100"/>
              <w:bottom w:type="dxa" w:w="80"/>
              <w:right w:type="dxa" w:w="100"/>
            </w:tcMar>
            <w:vAlign w:val="center"/>
          </w:tcPr>
          <w:p>
            <w:r>
              <w:rPr>
                <w:b w:val="false"/>
                <w:bCs w:val="false"/>
                <w:color w:val="1A1A1A"/>
                <w:sz w:val="18"/>
                <w:szCs w:val="18"/>
              </w:rPr>
              <w:t xml:space="preserve">Click on product from a list/search results</w:t>
            </w:r>
          </w:p>
        </w:tc>
        <w:tc>
          <w:tcPr>
            <w:tcW w:type="dxa" w:w="2400"/>
            <w:shd w:fill="F1EFE8" w:val="clear"/>
            <w:tcMar>
              <w:top w:type="dxa" w:w="80"/>
              <w:left w:type="dxa" w:w="100"/>
              <w:bottom w:type="dxa" w:w="80"/>
              <w:right w:type="dxa" w:w="100"/>
            </w:tcMar>
            <w:vAlign w:val="center"/>
          </w:tcPr>
          <w:p>
            <w:r>
              <w:rPr>
                <w:b w:val="false"/>
                <w:bCs w:val="false"/>
                <w:color w:val="1A1A1A"/>
                <w:sz w:val="18"/>
                <w:szCs w:val="18"/>
              </w:rPr>
              <w:t xml:space="preserve">eVar7 List/Placement Name, eVar8 List Position</w:t>
            </w:r>
          </w:p>
        </w:tc>
        <w:tc>
          <w:tcPr>
            <w:tcW w:type="dxa" w:w="1360"/>
            <w:shd w:fill="F1EFE8" w:val="clear"/>
            <w:tcMar>
              <w:top w:type="dxa" w:w="80"/>
              <w:left w:type="dxa" w:w="100"/>
              <w:bottom w:type="dxa" w:w="80"/>
              <w:right w:type="dxa" w:w="100"/>
            </w:tcMar>
            <w:vAlign w:val="center"/>
          </w:tcPr>
          <w:p>
            <w:r>
              <w:rPr>
                <w:b w:val="false"/>
                <w:bCs w:val="false"/>
                <w:color w:val="1A1A1A"/>
                <w:sz w:val="18"/>
                <w:szCs w:val="18"/>
              </w:rPr>
              <w:t xml:space="preserve">High</w:t>
            </w:r>
          </w:p>
        </w:tc>
      </w:tr>
      <w:tr>
        <w:tc>
          <w:tcPr>
            <w:tcW w:type="dxa" w:w="1500"/>
            <w:shd w:fill="FFFFFF" w:val="clear"/>
            <w:tcMar>
              <w:top w:type="dxa" w:w="80"/>
              <w:left w:type="dxa" w:w="100"/>
              <w:bottom w:type="dxa" w:w="80"/>
              <w:right w:type="dxa" w:w="100"/>
            </w:tcMar>
            <w:vAlign w:val="center"/>
          </w:tcPr>
          <w:p>
            <w:r>
              <w:rPr>
                <w:b w:val="false"/>
                <w:bCs w:val="false"/>
                <w:color w:val="1A1A1A"/>
                <w:sz w:val="18"/>
                <w:szCs w:val="18"/>
              </w:rPr>
              <w:t xml:space="preserve">add_to_cart</w:t>
            </w:r>
          </w:p>
        </w:tc>
        <w:tc>
          <w:tcPr>
            <w:tcW w:type="dxa" w:w="1700"/>
            <w:shd w:fill="FFFFFF" w:val="clear"/>
            <w:tcMar>
              <w:top w:type="dxa" w:w="80"/>
              <w:left w:type="dxa" w:w="100"/>
              <w:bottom w:type="dxa" w:w="80"/>
              <w:right w:type="dxa" w:w="100"/>
            </w:tcMar>
            <w:vAlign w:val="center"/>
          </w:tcPr>
          <w:p>
            <w:r>
              <w:rPr>
                <w:b w:val="false"/>
                <w:bCs w:val="false"/>
                <w:color w:val="1A1A1A"/>
                <w:sz w:val="18"/>
                <w:szCs w:val="18"/>
              </w:rPr>
              <w:t xml:space="preserve">event3 – Add to Cart</w:t>
            </w:r>
          </w:p>
        </w:tc>
        <w:tc>
          <w:tcPr>
            <w:tcW w:type="dxa" w:w="2400"/>
            <w:shd w:fill="FFFFFF" w:val="clear"/>
            <w:tcMar>
              <w:top w:type="dxa" w:w="80"/>
              <w:left w:type="dxa" w:w="100"/>
              <w:bottom w:type="dxa" w:w="80"/>
              <w:right w:type="dxa" w:w="100"/>
            </w:tcMar>
            <w:vAlign w:val="center"/>
          </w:tcPr>
          <w:p>
            <w:r>
              <w:rPr>
                <w:b w:val="false"/>
                <w:bCs w:val="false"/>
                <w:color w:val="1A1A1A"/>
                <w:sz w:val="18"/>
                <w:szCs w:val="18"/>
              </w:rPr>
              <w:t xml:space="preserve">CTA click with a successful cart response</w:t>
            </w:r>
          </w:p>
        </w:tc>
        <w:tc>
          <w:tcPr>
            <w:tcW w:type="dxa" w:w="2400"/>
            <w:shd w:fill="FFFFFF" w:val="clear"/>
            <w:tcMar>
              <w:top w:type="dxa" w:w="80"/>
              <w:left w:type="dxa" w:w="100"/>
              <w:bottom w:type="dxa" w:w="80"/>
              <w:right w:type="dxa" w:w="100"/>
            </w:tcMar>
            <w:vAlign w:val="center"/>
          </w:tcPr>
          <w:p>
            <w:r>
              <w:rPr>
                <w:b w:val="false"/>
                <w:bCs w:val="false"/>
                <w:color w:val="1A1A1A"/>
                <w:sz w:val="18"/>
                <w:szCs w:val="18"/>
              </w:rPr>
              <w:t xml:space="preserve">eVar1, eVar2, eVar4 Quantity</w:t>
            </w:r>
          </w:p>
        </w:tc>
        <w:tc>
          <w:tcPr>
            <w:tcW w:type="dxa" w:w="1360"/>
            <w:shd w:fill="FFFFFF" w:val="clear"/>
            <w:tcMar>
              <w:top w:type="dxa" w:w="80"/>
              <w:left w:type="dxa" w:w="100"/>
              <w:bottom w:type="dxa" w:w="80"/>
              <w:right w:type="dxa" w:w="100"/>
            </w:tcMar>
            <w:vAlign w:val="center"/>
          </w:tcPr>
          <w:p>
            <w:r>
              <w:rPr>
                <w:b w:val="false"/>
                <w:bCs w:val="false"/>
                <w:color w:val="1A1A1A"/>
                <w:sz w:val="18"/>
                <w:szCs w:val="18"/>
              </w:rPr>
              <w:t xml:space="preserve">High</w:t>
            </w:r>
          </w:p>
        </w:tc>
      </w:tr>
      <w:tr>
        <w:tc>
          <w:tcPr>
            <w:tcW w:type="dxa" w:w="1500"/>
            <w:shd w:fill="F1EFE8" w:val="clear"/>
            <w:tcMar>
              <w:top w:type="dxa" w:w="80"/>
              <w:left w:type="dxa" w:w="100"/>
              <w:bottom w:type="dxa" w:w="80"/>
              <w:right w:type="dxa" w:w="100"/>
            </w:tcMar>
            <w:vAlign w:val="center"/>
          </w:tcPr>
          <w:p>
            <w:r>
              <w:rPr>
                <w:b w:val="false"/>
                <w:bCs w:val="false"/>
                <w:color w:val="1A1A1A"/>
                <w:sz w:val="18"/>
                <w:szCs w:val="18"/>
              </w:rPr>
              <w:t xml:space="preserve">view_search_results</w:t>
            </w:r>
          </w:p>
        </w:tc>
        <w:tc>
          <w:tcPr>
            <w:tcW w:type="dxa" w:w="1700"/>
            <w:shd w:fill="F1EFE8" w:val="clear"/>
            <w:tcMar>
              <w:top w:type="dxa" w:w="80"/>
              <w:left w:type="dxa" w:w="100"/>
              <w:bottom w:type="dxa" w:w="80"/>
              <w:right w:type="dxa" w:w="100"/>
            </w:tcMar>
            <w:vAlign w:val="center"/>
          </w:tcPr>
          <w:p>
            <w:r>
              <w:rPr>
                <w:b w:val="false"/>
                <w:bCs w:val="false"/>
                <w:color w:val="1A1A1A"/>
                <w:sz w:val="18"/>
                <w:szCs w:val="18"/>
              </w:rPr>
              <w:t xml:space="preserve">event4 – Internal Search</w:t>
            </w:r>
          </w:p>
        </w:tc>
        <w:tc>
          <w:tcPr>
            <w:tcW w:type="dxa" w:w="2400"/>
            <w:shd w:fill="F1EFE8" w:val="clear"/>
            <w:tcMar>
              <w:top w:type="dxa" w:w="80"/>
              <w:left w:type="dxa" w:w="100"/>
              <w:bottom w:type="dxa" w:w="80"/>
              <w:right w:type="dxa" w:w="100"/>
            </w:tcMar>
            <w:vAlign w:val="center"/>
          </w:tcPr>
          <w:p>
            <w:r>
              <w:rPr>
                <w:b w:val="false"/>
                <w:bCs w:val="false"/>
                <w:color w:val="1A1A1A"/>
                <w:sz w:val="18"/>
                <w:szCs w:val="18"/>
              </w:rPr>
              <w:t xml:space="preserve">Internal search submit</w:t>
            </w:r>
          </w:p>
        </w:tc>
        <w:tc>
          <w:tcPr>
            <w:tcW w:type="dxa" w:w="2400"/>
            <w:shd w:fill="F1EFE8" w:val="clear"/>
            <w:tcMar>
              <w:top w:type="dxa" w:w="80"/>
              <w:left w:type="dxa" w:w="100"/>
              <w:bottom w:type="dxa" w:w="80"/>
              <w:right w:type="dxa" w:w="100"/>
            </w:tcMar>
            <w:vAlign w:val="center"/>
          </w:tcPr>
          <w:p>
            <w:r>
              <w:rPr>
                <w:b w:val="false"/>
                <w:bCs w:val="false"/>
                <w:color w:val="1A1A1A"/>
                <w:sz w:val="18"/>
                <w:szCs w:val="18"/>
              </w:rPr>
              <w:t xml:space="preserve">eVar6 Search Term</w:t>
            </w:r>
          </w:p>
        </w:tc>
        <w:tc>
          <w:tcPr>
            <w:tcW w:type="dxa" w:w="1360"/>
            <w:shd w:fill="F1EFE8" w:val="clear"/>
            <w:tcMar>
              <w:top w:type="dxa" w:w="80"/>
              <w:left w:type="dxa" w:w="100"/>
              <w:bottom w:type="dxa" w:w="80"/>
              <w:right w:type="dxa" w:w="100"/>
            </w:tcMar>
            <w:vAlign w:val="center"/>
          </w:tcPr>
          <w:p>
            <w:r>
              <w:rPr>
                <w:b w:val="false"/>
                <w:bCs w:val="false"/>
                <w:color w:val="1A1A1A"/>
                <w:sz w:val="18"/>
                <w:szCs w:val="18"/>
              </w:rPr>
              <w:t xml:space="preserve">Medium</w:t>
            </w:r>
          </w:p>
        </w:tc>
      </w:tr>
      <w:tr>
        <w:tc>
          <w:tcPr>
            <w:tcW w:type="dxa" w:w="1500"/>
            <w:shd w:fill="FFFFFF" w:val="clear"/>
            <w:tcMar>
              <w:top w:type="dxa" w:w="80"/>
              <w:left w:type="dxa" w:w="100"/>
              <w:bottom w:type="dxa" w:w="80"/>
              <w:right w:type="dxa" w:w="100"/>
            </w:tcMar>
            <w:vAlign w:val="center"/>
          </w:tcPr>
          <w:p>
            <w:r>
              <w:rPr>
                <w:b w:val="false"/>
                <w:bCs w:val="false"/>
                <w:color w:val="1A1A1A"/>
                <w:sz w:val="18"/>
                <w:szCs w:val="18"/>
              </w:rPr>
              <w:t xml:space="preserve">view_promotion / select_promotion</w:t>
            </w:r>
          </w:p>
        </w:tc>
        <w:tc>
          <w:tcPr>
            <w:tcW w:type="dxa" w:w="1700"/>
            <w:shd w:fill="FFFFFF" w:val="clear"/>
            <w:tcMar>
              <w:top w:type="dxa" w:w="80"/>
              <w:left w:type="dxa" w:w="100"/>
              <w:bottom w:type="dxa" w:w="80"/>
              <w:right w:type="dxa" w:w="100"/>
            </w:tcMar>
            <w:vAlign w:val="center"/>
          </w:tcPr>
          <w:p>
            <w:r>
              <w:rPr>
                <w:b w:val="false"/>
                <w:bCs w:val="false"/>
                <w:color w:val="1A1A1A"/>
                <w:sz w:val="18"/>
                <w:szCs w:val="18"/>
              </w:rPr>
              <w:t xml:space="preserve">event5 / event6 – Promo View/Click</w:t>
            </w:r>
          </w:p>
        </w:tc>
        <w:tc>
          <w:tcPr>
            <w:tcW w:type="dxa" w:w="2400"/>
            <w:shd w:fill="FFFFFF" w:val="clear"/>
            <w:tcMar>
              <w:top w:type="dxa" w:w="80"/>
              <w:left w:type="dxa" w:w="100"/>
              <w:bottom w:type="dxa" w:w="80"/>
              <w:right w:type="dxa" w:w="100"/>
            </w:tcMar>
            <w:vAlign w:val="center"/>
          </w:tcPr>
          <w:p>
            <w:r>
              <w:rPr>
                <w:b w:val="false"/>
                <w:bCs w:val="false"/>
                <w:color w:val="1A1A1A"/>
                <w:sz w:val="18"/>
                <w:szCs w:val="18"/>
              </w:rPr>
              <w:t xml:space="preserve">Banner/promo impression or click</w:t>
            </w:r>
          </w:p>
        </w:tc>
        <w:tc>
          <w:tcPr>
            <w:tcW w:type="dxa" w:w="2400"/>
            <w:shd w:fill="FFFFFF" w:val="clear"/>
            <w:tcMar>
              <w:top w:type="dxa" w:w="80"/>
              <w:left w:type="dxa" w:w="100"/>
              <w:bottom w:type="dxa" w:w="80"/>
              <w:right w:type="dxa" w:w="100"/>
            </w:tcMar>
            <w:vAlign w:val="center"/>
          </w:tcPr>
          <w:p>
            <w:r>
              <w:rPr>
                <w:b w:val="false"/>
                <w:bCs w:val="false"/>
                <w:color w:val="1A1A1A"/>
                <w:sz w:val="18"/>
                <w:szCs w:val="18"/>
              </w:rPr>
              <w:t xml:space="preserve">eVar9 Promo ID</w:t>
            </w:r>
          </w:p>
        </w:tc>
        <w:tc>
          <w:tcPr>
            <w:tcW w:type="dxa" w:w="1360"/>
            <w:shd w:fill="FFFFFF" w:val="clear"/>
            <w:tcMar>
              <w:top w:type="dxa" w:w="80"/>
              <w:left w:type="dxa" w:w="100"/>
              <w:bottom w:type="dxa" w:w="80"/>
              <w:right w:type="dxa" w:w="100"/>
            </w:tcMar>
            <w:vAlign w:val="center"/>
          </w:tcPr>
          <w:p>
            <w:r>
              <w:rPr>
                <w:b w:val="false"/>
                <w:bCs w:val="false"/>
                <w:color w:val="1A1A1A"/>
                <w:sz w:val="18"/>
                <w:szCs w:val="18"/>
              </w:rPr>
              <w:t xml:space="preserve">Medium</w:t>
            </w:r>
          </w:p>
        </w:tc>
      </w:tr>
      <w:tr>
        <w:tc>
          <w:tcPr>
            <w:tcW w:type="dxa" w:w="1500"/>
            <w:shd w:fill="F1EFE8" w:val="clear"/>
            <w:tcMar>
              <w:top w:type="dxa" w:w="80"/>
              <w:left w:type="dxa" w:w="100"/>
              <w:bottom w:type="dxa" w:w="80"/>
              <w:right w:type="dxa" w:w="100"/>
            </w:tcMar>
            <w:vAlign w:val="center"/>
          </w:tcPr>
          <w:p>
            <w:r>
              <w:rPr>
                <w:b w:val="false"/>
                <w:bCs w:val="false"/>
                <w:color w:val="1A1A1A"/>
                <w:sz w:val="18"/>
                <w:szCs w:val="18"/>
              </w:rPr>
              <w:t xml:space="preserve">begin_checkout</w:t>
            </w:r>
          </w:p>
        </w:tc>
        <w:tc>
          <w:tcPr>
            <w:tcW w:type="dxa" w:w="1700"/>
            <w:shd w:fill="F1EFE8" w:val="clear"/>
            <w:tcMar>
              <w:top w:type="dxa" w:w="80"/>
              <w:left w:type="dxa" w:w="100"/>
              <w:bottom w:type="dxa" w:w="80"/>
              <w:right w:type="dxa" w:w="100"/>
            </w:tcMar>
            <w:vAlign w:val="center"/>
          </w:tcPr>
          <w:p>
            <w:r>
              <w:rPr>
                <w:b w:val="false"/>
                <w:bCs w:val="false"/>
                <w:color w:val="1A1A1A"/>
                <w:sz w:val="18"/>
                <w:szCs w:val="18"/>
              </w:rPr>
              <w:t xml:space="preserve">event7 – Checkout Initiated</w:t>
            </w:r>
          </w:p>
        </w:tc>
        <w:tc>
          <w:tcPr>
            <w:tcW w:type="dxa" w:w="2400"/>
            <w:shd w:fill="F1EFE8" w:val="clear"/>
            <w:tcMar>
              <w:top w:type="dxa" w:w="80"/>
              <w:left w:type="dxa" w:w="100"/>
              <w:bottom w:type="dxa" w:w="80"/>
              <w:right w:type="dxa" w:w="100"/>
            </w:tcMar>
            <w:vAlign w:val="center"/>
          </w:tcPr>
          <w:p>
            <w:r>
              <w:rPr>
                <w:b w:val="false"/>
                <w:bCs w:val="false"/>
                <w:color w:val="1A1A1A"/>
                <w:sz w:val="18"/>
                <w:szCs w:val="18"/>
              </w:rPr>
              <w:t xml:space="preserve">Checkout entry</w:t>
            </w:r>
          </w:p>
        </w:tc>
        <w:tc>
          <w:tcPr>
            <w:tcW w:type="dxa" w:w="2400"/>
            <w:shd w:fill="F1EFE8" w:val="clear"/>
            <w:tcMar>
              <w:top w:type="dxa" w:w="80"/>
              <w:left w:type="dxa" w:w="100"/>
              <w:bottom w:type="dxa" w:w="80"/>
              <w:right w:type="dxa" w:w="100"/>
            </w:tcMar>
            <w:vAlign w:val="center"/>
          </w:tcPr>
          <w:p>
            <w:r>
              <w:rPr>
                <w:b w:val="false"/>
                <w:bCs w:val="false"/>
                <w:color w:val="1A1A1A"/>
                <w:sz w:val="18"/>
                <w:szCs w:val="18"/>
              </w:rPr>
              <w:t xml:space="preserve">eVar1 (list), eVar4</w:t>
            </w:r>
          </w:p>
        </w:tc>
        <w:tc>
          <w:tcPr>
            <w:tcW w:type="dxa" w:w="1360"/>
            <w:shd w:fill="F1EFE8" w:val="clear"/>
            <w:tcMar>
              <w:top w:type="dxa" w:w="80"/>
              <w:left w:type="dxa" w:w="100"/>
              <w:bottom w:type="dxa" w:w="80"/>
              <w:right w:type="dxa" w:w="100"/>
            </w:tcMar>
            <w:vAlign w:val="center"/>
          </w:tcPr>
          <w:p>
            <w:r>
              <w:rPr>
                <w:b w:val="false"/>
                <w:bCs w:val="false"/>
                <w:color w:val="1A1A1A"/>
                <w:sz w:val="18"/>
                <w:szCs w:val="18"/>
              </w:rPr>
              <w:t xml:space="preserve">High</w:t>
            </w:r>
          </w:p>
        </w:tc>
      </w:tr>
      <w:tr>
        <w:tc>
          <w:tcPr>
            <w:tcW w:type="dxa" w:w="1500"/>
            <w:shd w:fill="FFFFFF" w:val="clear"/>
            <w:tcMar>
              <w:top w:type="dxa" w:w="80"/>
              <w:left w:type="dxa" w:w="100"/>
              <w:bottom w:type="dxa" w:w="80"/>
              <w:right w:type="dxa" w:w="100"/>
            </w:tcMar>
            <w:vAlign w:val="center"/>
          </w:tcPr>
          <w:p>
            <w:r>
              <w:rPr>
                <w:b w:val="false"/>
                <w:bCs w:val="false"/>
                <w:color w:val="1A1A1A"/>
                <w:sz w:val="18"/>
                <w:szCs w:val="18"/>
              </w:rPr>
              <w:t xml:space="preserve">add_shipping_info / add_payment_info</w:t>
            </w:r>
          </w:p>
        </w:tc>
        <w:tc>
          <w:tcPr>
            <w:tcW w:type="dxa" w:w="1700"/>
            <w:shd w:fill="FFFFFF" w:val="clear"/>
            <w:tcMar>
              <w:top w:type="dxa" w:w="80"/>
              <w:left w:type="dxa" w:w="100"/>
              <w:bottom w:type="dxa" w:w="80"/>
              <w:right w:type="dxa" w:w="100"/>
            </w:tcMar>
            <w:vAlign w:val="center"/>
          </w:tcPr>
          <w:p>
            <w:r>
              <w:rPr>
                <w:b w:val="false"/>
                <w:bCs w:val="false"/>
                <w:color w:val="1A1A1A"/>
                <w:sz w:val="18"/>
                <w:szCs w:val="18"/>
              </w:rPr>
              <w:t xml:space="preserve">event8 / event9</w:t>
            </w:r>
          </w:p>
        </w:tc>
        <w:tc>
          <w:tcPr>
            <w:tcW w:type="dxa" w:w="2400"/>
            <w:shd w:fill="FFFFFF" w:val="clear"/>
            <w:tcMar>
              <w:top w:type="dxa" w:w="80"/>
              <w:left w:type="dxa" w:w="100"/>
              <w:bottom w:type="dxa" w:w="80"/>
              <w:right w:type="dxa" w:w="100"/>
            </w:tcMar>
            <w:vAlign w:val="center"/>
          </w:tcPr>
          <w:p>
            <w:r>
              <w:rPr>
                <w:b w:val="false"/>
                <w:bCs w:val="false"/>
                <w:color w:val="1A1A1A"/>
                <w:sz w:val="18"/>
                <w:szCs w:val="18"/>
              </w:rPr>
              <w:t xml:space="preserve">Completing each checkout step</w:t>
            </w:r>
          </w:p>
        </w:tc>
        <w:tc>
          <w:tcPr>
            <w:tcW w:type="dxa" w:w="2400"/>
            <w:shd w:fill="FFFFFF" w:val="clear"/>
            <w:tcMar>
              <w:top w:type="dxa" w:w="80"/>
              <w:left w:type="dxa" w:w="100"/>
              <w:bottom w:type="dxa" w:w="80"/>
              <w:right w:type="dxa" w:w="100"/>
            </w:tcMar>
            <w:vAlign w:val="center"/>
          </w:tcPr>
          <w:p>
            <w:r>
              <w:rPr>
                <w:b w:val="false"/>
                <w:bCs w:val="false"/>
                <w:color w:val="1A1A1A"/>
                <w:sz w:val="18"/>
                <w:szCs w:val="18"/>
              </w:rPr>
              <w:t xml:space="preserve">—</w:t>
            </w:r>
          </w:p>
        </w:tc>
        <w:tc>
          <w:tcPr>
            <w:tcW w:type="dxa" w:w="1360"/>
            <w:shd w:fill="FFFFFF" w:val="clear"/>
            <w:tcMar>
              <w:top w:type="dxa" w:w="80"/>
              <w:left w:type="dxa" w:w="100"/>
              <w:bottom w:type="dxa" w:w="80"/>
              <w:right w:type="dxa" w:w="100"/>
            </w:tcMar>
            <w:vAlign w:val="center"/>
          </w:tcPr>
          <w:p>
            <w:r>
              <w:rPr>
                <w:b w:val="false"/>
                <w:bCs w:val="false"/>
                <w:color w:val="1A1A1A"/>
                <w:sz w:val="18"/>
                <w:szCs w:val="18"/>
              </w:rPr>
              <w:t xml:space="preserve">Medium</w:t>
            </w:r>
          </w:p>
        </w:tc>
      </w:tr>
      <w:tr>
        <w:tc>
          <w:tcPr>
            <w:tcW w:type="dxa" w:w="1500"/>
            <w:shd w:fill="F1EFE8" w:val="clear"/>
            <w:tcMar>
              <w:top w:type="dxa" w:w="80"/>
              <w:left w:type="dxa" w:w="100"/>
              <w:bottom w:type="dxa" w:w="80"/>
              <w:right w:type="dxa" w:w="100"/>
            </w:tcMar>
            <w:vAlign w:val="center"/>
          </w:tcPr>
          <w:p>
            <w:r>
              <w:rPr>
                <w:b w:val="false"/>
                <w:bCs w:val="false"/>
                <w:color w:val="1A1A1A"/>
                <w:sz w:val="18"/>
                <w:szCs w:val="18"/>
              </w:rPr>
              <w:t xml:space="preserve">purchase</w:t>
            </w:r>
          </w:p>
        </w:tc>
        <w:tc>
          <w:tcPr>
            <w:tcW w:type="dxa" w:w="1700"/>
            <w:shd w:fill="F1EFE8" w:val="clear"/>
            <w:tcMar>
              <w:top w:type="dxa" w:w="80"/>
              <w:left w:type="dxa" w:w="100"/>
              <w:bottom w:type="dxa" w:w="80"/>
              <w:right w:type="dxa" w:w="100"/>
            </w:tcMar>
            <w:vAlign w:val="center"/>
          </w:tcPr>
          <w:p>
            <w:r>
              <w:rPr>
                <w:b w:val="false"/>
                <w:bCs w:val="false"/>
                <w:color w:val="1A1A1A"/>
                <w:sz w:val="18"/>
                <w:szCs w:val="18"/>
              </w:rPr>
              <w:t xml:space="preserve">event10 – Order Complete (revenue)</w:t>
            </w:r>
          </w:p>
        </w:tc>
        <w:tc>
          <w:tcPr>
            <w:tcW w:type="dxa" w:w="2400"/>
            <w:shd w:fill="F1EFE8" w:val="clear"/>
            <w:tcMar>
              <w:top w:type="dxa" w:w="80"/>
              <w:left w:type="dxa" w:w="100"/>
              <w:bottom w:type="dxa" w:w="80"/>
              <w:right w:type="dxa" w:w="100"/>
            </w:tcMar>
            <w:vAlign w:val="center"/>
          </w:tcPr>
          <w:p>
            <w:r>
              <w:rPr>
                <w:b w:val="false"/>
                <w:bCs w:val="false"/>
                <w:color w:val="1A1A1A"/>
                <w:sz w:val="18"/>
                <w:szCs w:val="18"/>
              </w:rPr>
              <w:t xml:space="preserve">Order confirmation</w:t>
            </w:r>
          </w:p>
        </w:tc>
        <w:tc>
          <w:tcPr>
            <w:tcW w:type="dxa" w:w="2400"/>
            <w:shd w:fill="F1EFE8" w:val="clear"/>
            <w:tcMar>
              <w:top w:type="dxa" w:w="80"/>
              <w:left w:type="dxa" w:w="100"/>
              <w:bottom w:type="dxa" w:w="80"/>
              <w:right w:type="dxa" w:w="100"/>
            </w:tcMar>
            <w:vAlign w:val="center"/>
          </w:tcPr>
          <w:p>
            <w:r>
              <w:rPr>
                <w:b w:val="false"/>
                <w:bCs w:val="false"/>
                <w:color w:val="1A1A1A"/>
                <w:sz w:val="18"/>
                <w:szCs w:val="18"/>
              </w:rPr>
              <w:t xml:space="preserve">eVar5 Order ID, eVar4 Quantity</w:t>
            </w:r>
          </w:p>
        </w:tc>
        <w:tc>
          <w:tcPr>
            <w:tcW w:type="dxa" w:w="1360"/>
            <w:shd w:fill="F1EFE8" w:val="clear"/>
            <w:tcMar>
              <w:top w:type="dxa" w:w="80"/>
              <w:left w:type="dxa" w:w="100"/>
              <w:bottom w:type="dxa" w:w="80"/>
              <w:right w:type="dxa" w:w="100"/>
            </w:tcMar>
            <w:vAlign w:val="center"/>
          </w:tcPr>
          <w:p>
            <w:r>
              <w:rPr>
                <w:b w:val="false"/>
                <w:bCs w:val="false"/>
                <w:color w:val="1A1A1A"/>
                <w:sz w:val="18"/>
                <w:szCs w:val="18"/>
              </w:rPr>
              <w:t xml:space="preserve">High</w:t>
            </w:r>
          </w:p>
        </w:tc>
      </w:tr>
    </w:tbl>
    <w:p>
      <w:pPr>
        <w:pStyle w:val="Heading2"/>
        <w:spacing w:after="120" w:before="240"/>
      </w:pPr>
      <w:r>
        <w:rPr>
          <w:b/>
          <w:bCs/>
          <w:color w:val="2A78D6"/>
          <w:sz w:val="22"/>
          <w:szCs w:val="22"/>
        </w:rPr>
        <w:t xml:space="preserve">Proposed additional tracking (not native to GA4)</w:t>
      </w:r>
    </w:p>
    <w:p>
      <w:pPr>
        <w:spacing w:after="160" w:line="300"/>
      </w:pPr>
      <w:r>
        <w:rPr>
          <w:color w:val="1A1A1A"/>
          <w:sz w:val="21"/>
          <w:szCs w:val="21"/>
        </w:rPr>
        <w:t xml:space="preserve">To diagnose why users abandon the PDP — not just confirm that they do — it's worth instrumenting additional signals that GA4 doesn't capture by default. This is what a lead-level tracking plan should add on top of a 1:1 event migration:</w:t>
      </w:r>
    </w:p>
    <w:p>
      <w:pPr>
        <w:pStyle w:val="ListParagraph"/>
        <w:numPr>
          <w:ilvl w:val="0"/>
          <w:numId w:val="2"/>
        </w:numPr>
        <w:spacing w:after="80" w:line="280"/>
      </w:pPr>
      <w:r>
        <w:rPr>
          <w:color w:val="1A1A1A"/>
          <w:sz w:val="21"/>
          <w:szCs w:val="21"/>
        </w:rPr>
        <w:t xml:space="preserve">CTA visible (hit-based event): confirms whether the add-to-cart button actually entered the viewport, distinguishing "never saw it" from "saw it and didn't use it".</w:t>
      </w:r>
    </w:p>
    <w:p>
      <w:pPr>
        <w:pStyle w:val="ListParagraph"/>
        <w:numPr>
          <w:ilvl w:val="0"/>
          <w:numId w:val="2"/>
        </w:numPr>
        <w:spacing w:after="80" w:line="280"/>
      </w:pPr>
      <w:r>
        <w:rPr>
          <w:color w:val="1A1A1A"/>
          <w:sz w:val="21"/>
          <w:szCs w:val="21"/>
        </w:rPr>
        <w:t xml:space="preserve">Stock/availability shown (prop): correlates drop-off with out-of-stock or low-availability products.</w:t>
      </w:r>
    </w:p>
    <w:p>
      <w:pPr>
        <w:pStyle w:val="ListParagraph"/>
        <w:numPr>
          <w:ilvl w:val="0"/>
          <w:numId w:val="2"/>
        </w:numPr>
        <w:spacing w:after="80" w:line="280"/>
      </w:pPr>
      <w:r>
        <w:rPr>
          <w:color w:val="1A1A1A"/>
          <w:sz w:val="21"/>
          <w:szCs w:val="21"/>
        </w:rPr>
        <w:t xml:space="preserve">Failed add-to-cart attempt (event): CTA clicks that don't result in a successful cart update (error, timeout, validation).</w:t>
      </w:r>
    </w:p>
    <w:p>
      <w:pPr>
        <w:pStyle w:val="ListParagraph"/>
        <w:numPr>
          <w:ilvl w:val="0"/>
          <w:numId w:val="2"/>
        </w:numPr>
        <w:spacing w:after="80" w:line="280"/>
      </w:pPr>
      <w:r>
        <w:rPr>
          <w:color w:val="1A1A1A"/>
          <w:sz w:val="21"/>
          <w:szCs w:val="21"/>
        </w:rPr>
        <w:t xml:space="preserve">Scroll depth / active time on PDP before exit: distinguishes immediate exits from exits after evaluation.</w:t>
      </w:r>
    </w:p>
    <w:p>
      <w:pPr>
        <w:pStyle w:val="ListParagraph"/>
        <w:numPr>
          <w:ilvl w:val="0"/>
          <w:numId w:val="2"/>
        </w:numPr>
        <w:spacing w:after="80" w:line="280"/>
      </w:pPr>
      <w:r>
        <w:rPr>
          <w:color w:val="1A1A1A"/>
          <w:sz w:val="21"/>
          <w:szCs w:val="21"/>
        </w:rPr>
        <w:t xml:space="preserve">Price shown at time of view (numeric eVar or tiered prop): allows cross-referencing add-to-cart conversion by price range.</w:t>
      </w:r>
    </w:p>
    <w:p>
      <w:pPr>
        <w:pStyle w:val="Heading1"/>
        <w:pBdr>
          <w:bottom w:val="single" w:color="1F3864" w:sz="6" w:space="4"/>
        </w:pBdr>
        <w:spacing w:after="160" w:before="360"/>
      </w:pPr>
      <w:r>
        <w:rPr>
          <w:b/>
          <w:bCs/>
          <w:color w:val="1F3864"/>
          <w:sz w:val="26"/>
          <w:szCs w:val="26"/>
        </w:rPr>
        <w:t xml:space="preserve">4. eVars and props —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900"/>
        <w:gridCol w:w="2100"/>
        <w:gridCol w:w="2860"/>
      </w:tblGrid>
      <w:tr>
        <w:tc>
          <w:tcPr>
            <w:tcW w:type="dxa" w:w="1500"/>
            <w:shd w:fill="1F3864" w:val="clear"/>
            <w:tcMar>
              <w:top w:type="dxa" w:w="80"/>
              <w:left w:type="dxa" w:w="100"/>
              <w:bottom w:type="dxa" w:w="80"/>
              <w:right w:type="dxa" w:w="100"/>
            </w:tcMar>
            <w:vAlign w:val="center"/>
          </w:tcPr>
          <w:p>
            <w:r>
              <w:rPr>
                <w:b/>
                <w:bCs/>
                <w:color w:val="FFFFFF"/>
                <w:sz w:val="18"/>
                <w:szCs w:val="18"/>
              </w:rPr>
              <w:t xml:space="preserve">Variable</w:t>
            </w:r>
          </w:p>
        </w:tc>
        <w:tc>
          <w:tcPr>
            <w:tcW w:type="dxa" w:w="1000"/>
            <w:shd w:fill="1F3864" w:val="clear"/>
            <w:tcMar>
              <w:top w:type="dxa" w:w="80"/>
              <w:left w:type="dxa" w:w="100"/>
              <w:bottom w:type="dxa" w:w="80"/>
              <w:right w:type="dxa" w:w="100"/>
            </w:tcMar>
            <w:vAlign w:val="center"/>
          </w:tcPr>
          <w:p>
            <w:r>
              <w:rPr>
                <w:b/>
                <w:bCs/>
                <w:color w:val="FFFFFF"/>
                <w:sz w:val="18"/>
                <w:szCs w:val="18"/>
              </w:rPr>
              <w:t xml:space="preserve">Type</w:t>
            </w:r>
          </w:p>
        </w:tc>
        <w:tc>
          <w:tcPr>
            <w:tcW w:type="dxa" w:w="1900"/>
            <w:shd w:fill="1F3864" w:val="clear"/>
            <w:tcMar>
              <w:top w:type="dxa" w:w="80"/>
              <w:left w:type="dxa" w:w="100"/>
              <w:bottom w:type="dxa" w:w="80"/>
              <w:right w:type="dxa" w:w="100"/>
            </w:tcMar>
            <w:vAlign w:val="center"/>
          </w:tcPr>
          <w:p>
            <w:r>
              <w:rPr>
                <w:b/>
                <w:bCs/>
                <w:color w:val="FFFFFF"/>
                <w:sz w:val="18"/>
                <w:szCs w:val="18"/>
              </w:rPr>
              <w:t xml:space="preserve">Source (GA4)</w:t>
            </w:r>
          </w:p>
        </w:tc>
        <w:tc>
          <w:tcPr>
            <w:tcW w:type="dxa" w:w="2100"/>
            <w:shd w:fill="1F3864" w:val="clear"/>
            <w:tcMar>
              <w:top w:type="dxa" w:w="80"/>
              <w:left w:type="dxa" w:w="100"/>
              <w:bottom w:type="dxa" w:w="80"/>
              <w:right w:type="dxa" w:w="100"/>
            </w:tcMar>
            <w:vAlign w:val="center"/>
          </w:tcPr>
          <w:p>
            <w:r>
              <w:rPr>
                <w:b/>
                <w:bCs/>
                <w:color w:val="FFFFFF"/>
                <w:sz w:val="18"/>
                <w:szCs w:val="18"/>
              </w:rPr>
              <w:t xml:space="preserve">Persistence</w:t>
            </w:r>
          </w:p>
        </w:tc>
        <w:tc>
          <w:tcPr>
            <w:tcW w:type="dxa" w:w="2860"/>
            <w:shd w:fill="1F3864" w:val="clear"/>
            <w:tcMar>
              <w:top w:type="dxa" w:w="80"/>
              <w:left w:type="dxa" w:w="100"/>
              <w:bottom w:type="dxa" w:w="80"/>
              <w:right w:type="dxa" w:w="100"/>
            </w:tcMar>
            <w:vAlign w:val="center"/>
          </w:tcPr>
          <w:p>
            <w:r>
              <w:rPr>
                <w:b/>
                <w:bCs/>
                <w:color w:val="FFFFFF"/>
                <w:sz w:val="18"/>
                <w:szCs w:val="18"/>
              </w:rPr>
              <w:t xml:space="preserve">Analytical use</w:t>
            </w:r>
          </w:p>
        </w:tc>
      </w:tr>
      <w:tr>
        <w:tc>
          <w:tcPr>
            <w:tcW w:type="dxa" w:w="1500"/>
            <w:shd w:fill="FFFFFF" w:val="clear"/>
            <w:tcMar>
              <w:top w:type="dxa" w:w="80"/>
              <w:left w:type="dxa" w:w="100"/>
              <w:bottom w:type="dxa" w:w="80"/>
              <w:right w:type="dxa" w:w="100"/>
            </w:tcMar>
            <w:vAlign w:val="center"/>
          </w:tcPr>
          <w:p>
            <w:r>
              <w:rPr>
                <w:b w:val="false"/>
                <w:bCs w:val="false"/>
                <w:color w:val="1A1A1A"/>
                <w:sz w:val="18"/>
                <w:szCs w:val="18"/>
              </w:rPr>
              <w:t xml:space="preserve">eVar1 – Product ID</w:t>
            </w:r>
          </w:p>
        </w:tc>
        <w:tc>
          <w:tcPr>
            <w:tcW w:type="dxa" w:w="1000"/>
            <w:shd w:fill="FFFFFF" w:val="clear"/>
            <w:tcMar>
              <w:top w:type="dxa" w:w="80"/>
              <w:left w:type="dxa" w:w="100"/>
              <w:bottom w:type="dxa" w:w="80"/>
              <w:right w:type="dxa" w:w="100"/>
            </w:tcMar>
            <w:vAlign w:val="center"/>
          </w:tcPr>
          <w:p>
            <w:r>
              <w:rPr>
                <w:b w:val="false"/>
                <w:bCs w:val="false"/>
                <w:color w:val="1A1A1A"/>
                <w:sz w:val="18"/>
                <w:szCs w:val="18"/>
              </w:rPr>
              <w:t xml:space="preserve">eVar</w:t>
            </w:r>
          </w:p>
        </w:tc>
        <w:tc>
          <w:tcPr>
            <w:tcW w:type="dxa" w:w="1900"/>
            <w:shd w:fill="FFFFFF" w:val="clear"/>
            <w:tcMar>
              <w:top w:type="dxa" w:w="80"/>
              <w:left w:type="dxa" w:w="100"/>
              <w:bottom w:type="dxa" w:w="80"/>
              <w:right w:type="dxa" w:w="100"/>
            </w:tcMar>
            <w:vAlign w:val="center"/>
          </w:tcPr>
          <w:p>
            <w:r>
              <w:rPr>
                <w:b w:val="false"/>
                <w:bCs w:val="false"/>
                <w:color w:val="1A1A1A"/>
                <w:sz w:val="18"/>
                <w:szCs w:val="18"/>
              </w:rPr>
              <w:t xml:space="preserve">item_id</w:t>
            </w:r>
          </w:p>
        </w:tc>
        <w:tc>
          <w:tcPr>
            <w:tcW w:type="dxa" w:w="2100"/>
            <w:shd w:fill="FFFFFF" w:val="clear"/>
            <w:tcMar>
              <w:top w:type="dxa" w:w="80"/>
              <w:left w:type="dxa" w:w="100"/>
              <w:bottom w:type="dxa" w:w="80"/>
              <w:right w:type="dxa" w:w="100"/>
            </w:tcMar>
            <w:vAlign w:val="center"/>
          </w:tcPr>
          <w:p>
            <w:r>
              <w:rPr>
                <w:b w:val="false"/>
                <w:bCs w:val="false"/>
                <w:color w:val="1A1A1A"/>
                <w:sz w:val="18"/>
                <w:szCs w:val="18"/>
              </w:rPr>
              <w:t xml:space="preserve">Event hit (not persistent)</w:t>
            </w:r>
          </w:p>
        </w:tc>
        <w:tc>
          <w:tcPr>
            <w:tcW w:type="dxa" w:w="2860"/>
            <w:shd w:fill="FFFFFF" w:val="clear"/>
            <w:tcMar>
              <w:top w:type="dxa" w:w="80"/>
              <w:left w:type="dxa" w:w="100"/>
              <w:bottom w:type="dxa" w:w="80"/>
              <w:right w:type="dxa" w:w="100"/>
            </w:tcMar>
            <w:vAlign w:val="center"/>
          </w:tcPr>
          <w:p>
            <w:r>
              <w:rPr>
                <w:b w:val="false"/>
                <w:bCs w:val="false"/>
                <w:color w:val="1A1A1A"/>
                <w:sz w:val="18"/>
                <w:szCs w:val="18"/>
              </w:rPr>
              <w:t xml:space="preserve">Ties product to every funnel step</w:t>
            </w:r>
          </w:p>
        </w:tc>
      </w:tr>
      <w:tr>
        <w:tc>
          <w:tcPr>
            <w:tcW w:type="dxa" w:w="1500"/>
            <w:shd w:fill="F1EFE8" w:val="clear"/>
            <w:tcMar>
              <w:top w:type="dxa" w:w="80"/>
              <w:left w:type="dxa" w:w="100"/>
              <w:bottom w:type="dxa" w:w="80"/>
              <w:right w:type="dxa" w:w="100"/>
            </w:tcMar>
            <w:vAlign w:val="center"/>
          </w:tcPr>
          <w:p>
            <w:r>
              <w:rPr>
                <w:b w:val="false"/>
                <w:bCs w:val="false"/>
                <w:color w:val="1A1A1A"/>
                <w:sz w:val="18"/>
                <w:szCs w:val="18"/>
              </w:rPr>
              <w:t xml:space="preserve">eVar2 – Product Category</w:t>
            </w:r>
          </w:p>
        </w:tc>
        <w:tc>
          <w:tcPr>
            <w:tcW w:type="dxa" w:w="1000"/>
            <w:shd w:fill="F1EFE8" w:val="clear"/>
            <w:tcMar>
              <w:top w:type="dxa" w:w="80"/>
              <w:left w:type="dxa" w:w="100"/>
              <w:bottom w:type="dxa" w:w="80"/>
              <w:right w:type="dxa" w:w="100"/>
            </w:tcMar>
            <w:vAlign w:val="center"/>
          </w:tcPr>
          <w:p>
            <w:r>
              <w:rPr>
                <w:b w:val="false"/>
                <w:bCs w:val="false"/>
                <w:color w:val="1A1A1A"/>
                <w:sz w:val="18"/>
                <w:szCs w:val="18"/>
              </w:rPr>
              <w:t xml:space="preserve">eVar</w:t>
            </w:r>
          </w:p>
        </w:tc>
        <w:tc>
          <w:tcPr>
            <w:tcW w:type="dxa" w:w="1900"/>
            <w:shd w:fill="F1EFE8" w:val="clear"/>
            <w:tcMar>
              <w:top w:type="dxa" w:w="80"/>
              <w:left w:type="dxa" w:w="100"/>
              <w:bottom w:type="dxa" w:w="80"/>
              <w:right w:type="dxa" w:w="100"/>
            </w:tcMar>
            <w:vAlign w:val="center"/>
          </w:tcPr>
          <w:p>
            <w:r>
              <w:rPr>
                <w:b w:val="false"/>
                <w:bCs w:val="false"/>
                <w:color w:val="1A1A1A"/>
                <w:sz w:val="18"/>
                <w:szCs w:val="18"/>
              </w:rPr>
              <w:t xml:space="preserve">item_category</w:t>
            </w:r>
          </w:p>
        </w:tc>
        <w:tc>
          <w:tcPr>
            <w:tcW w:type="dxa" w:w="2100"/>
            <w:shd w:fill="F1EFE8" w:val="clear"/>
            <w:tcMar>
              <w:top w:type="dxa" w:w="80"/>
              <w:left w:type="dxa" w:w="100"/>
              <w:bottom w:type="dxa" w:w="80"/>
              <w:right w:type="dxa" w:w="100"/>
            </w:tcMar>
            <w:vAlign w:val="center"/>
          </w:tcPr>
          <w:p>
            <w:r>
              <w:rPr>
                <w:b w:val="false"/>
                <w:bCs w:val="false"/>
                <w:color w:val="1A1A1A"/>
                <w:sz w:val="18"/>
                <w:szCs w:val="18"/>
              </w:rPr>
              <w:t xml:space="preserve">Event hit</w:t>
            </w:r>
          </w:p>
        </w:tc>
        <w:tc>
          <w:tcPr>
            <w:tcW w:type="dxa" w:w="2860"/>
            <w:shd w:fill="F1EFE8" w:val="clear"/>
            <w:tcMar>
              <w:top w:type="dxa" w:w="80"/>
              <w:left w:type="dxa" w:w="100"/>
              <w:bottom w:type="dxa" w:w="80"/>
              <w:right w:type="dxa" w:w="100"/>
            </w:tcMar>
            <w:vAlign w:val="center"/>
          </w:tcPr>
          <w:p>
            <w:r>
              <w:rPr>
                <w:b w:val="false"/>
                <w:bCs w:val="false"/>
                <w:color w:val="1A1A1A"/>
                <w:sz w:val="18"/>
                <w:szCs w:val="18"/>
              </w:rPr>
              <w:t xml:space="preserve">Compare add-to-cart conversion by category</w:t>
            </w:r>
          </w:p>
        </w:tc>
      </w:tr>
      <w:tr>
        <w:tc>
          <w:tcPr>
            <w:tcW w:type="dxa" w:w="1500"/>
            <w:shd w:fill="FFFFFF" w:val="clear"/>
            <w:tcMar>
              <w:top w:type="dxa" w:w="80"/>
              <w:left w:type="dxa" w:w="100"/>
              <w:bottom w:type="dxa" w:w="80"/>
              <w:right w:type="dxa" w:w="100"/>
            </w:tcMar>
            <w:vAlign w:val="center"/>
          </w:tcPr>
          <w:p>
            <w:r>
              <w:rPr>
                <w:b w:val="false"/>
                <w:bCs w:val="false"/>
                <w:color w:val="1A1A1A"/>
                <w:sz w:val="18"/>
                <w:szCs w:val="18"/>
              </w:rPr>
              <w:t xml:space="preserve">eVar3 – Price Tier</w:t>
            </w:r>
          </w:p>
        </w:tc>
        <w:tc>
          <w:tcPr>
            <w:tcW w:type="dxa" w:w="1000"/>
            <w:shd w:fill="FFFFFF" w:val="clear"/>
            <w:tcMar>
              <w:top w:type="dxa" w:w="80"/>
              <w:left w:type="dxa" w:w="100"/>
              <w:bottom w:type="dxa" w:w="80"/>
              <w:right w:type="dxa" w:w="100"/>
            </w:tcMar>
            <w:vAlign w:val="center"/>
          </w:tcPr>
          <w:p>
            <w:r>
              <w:rPr>
                <w:b w:val="false"/>
                <w:bCs w:val="false"/>
                <w:color w:val="1A1A1A"/>
                <w:sz w:val="18"/>
                <w:szCs w:val="18"/>
              </w:rPr>
              <w:t xml:space="preserve">eVar</w:t>
            </w:r>
          </w:p>
        </w:tc>
        <w:tc>
          <w:tcPr>
            <w:tcW w:type="dxa" w:w="1900"/>
            <w:shd w:fill="FFFFFF" w:val="clear"/>
            <w:tcMar>
              <w:top w:type="dxa" w:w="80"/>
              <w:left w:type="dxa" w:w="100"/>
              <w:bottom w:type="dxa" w:w="80"/>
              <w:right w:type="dxa" w:w="100"/>
            </w:tcMar>
            <w:vAlign w:val="center"/>
          </w:tcPr>
          <w:p>
            <w:r>
              <w:rPr>
                <w:b w:val="false"/>
                <w:bCs w:val="false"/>
                <w:color w:val="1A1A1A"/>
                <w:sz w:val="18"/>
                <w:szCs w:val="18"/>
              </w:rPr>
              <w:t xml:space="preserve">price (bucketed into ranges)</w:t>
            </w:r>
          </w:p>
        </w:tc>
        <w:tc>
          <w:tcPr>
            <w:tcW w:type="dxa" w:w="2100"/>
            <w:shd w:fill="FFFFFF" w:val="clear"/>
            <w:tcMar>
              <w:top w:type="dxa" w:w="80"/>
              <w:left w:type="dxa" w:w="100"/>
              <w:bottom w:type="dxa" w:w="80"/>
              <w:right w:type="dxa" w:w="100"/>
            </w:tcMar>
            <w:vAlign w:val="center"/>
          </w:tcPr>
          <w:p>
            <w:r>
              <w:rPr>
                <w:b w:val="false"/>
                <w:bCs w:val="false"/>
                <w:color w:val="1A1A1A"/>
                <w:sz w:val="18"/>
                <w:szCs w:val="18"/>
              </w:rPr>
              <w:t xml:space="preserve">Event hit</w:t>
            </w:r>
          </w:p>
        </w:tc>
        <w:tc>
          <w:tcPr>
            <w:tcW w:type="dxa" w:w="2860"/>
            <w:shd w:fill="FFFFFF" w:val="clear"/>
            <w:tcMar>
              <w:top w:type="dxa" w:w="80"/>
              <w:left w:type="dxa" w:w="100"/>
              <w:bottom w:type="dxa" w:w="80"/>
              <w:right w:type="dxa" w:w="100"/>
            </w:tcMar>
            <w:vAlign w:val="center"/>
          </w:tcPr>
          <w:p>
            <w:r>
              <w:rPr>
                <w:b w:val="false"/>
                <w:bCs w:val="false"/>
                <w:color w:val="1A1A1A"/>
                <w:sz w:val="18"/>
                <w:szCs w:val="18"/>
              </w:rPr>
              <w:t xml:space="preserve">Correlate price with drop-off</w:t>
            </w:r>
          </w:p>
        </w:tc>
      </w:tr>
      <w:tr>
        <w:tc>
          <w:tcPr>
            <w:tcW w:type="dxa" w:w="1500"/>
            <w:shd w:fill="F1EFE8" w:val="clear"/>
            <w:tcMar>
              <w:top w:type="dxa" w:w="80"/>
              <w:left w:type="dxa" w:w="100"/>
              <w:bottom w:type="dxa" w:w="80"/>
              <w:right w:type="dxa" w:w="100"/>
            </w:tcMar>
            <w:vAlign w:val="center"/>
          </w:tcPr>
          <w:p>
            <w:r>
              <w:rPr>
                <w:b w:val="false"/>
                <w:bCs w:val="false"/>
                <w:color w:val="1A1A1A"/>
                <w:sz w:val="18"/>
                <w:szCs w:val="18"/>
              </w:rPr>
              <w:t xml:space="preserve">eVar4 – Quantity</w:t>
            </w:r>
          </w:p>
        </w:tc>
        <w:tc>
          <w:tcPr>
            <w:tcW w:type="dxa" w:w="1000"/>
            <w:shd w:fill="F1EFE8" w:val="clear"/>
            <w:tcMar>
              <w:top w:type="dxa" w:w="80"/>
              <w:left w:type="dxa" w:w="100"/>
              <w:bottom w:type="dxa" w:w="80"/>
              <w:right w:type="dxa" w:w="100"/>
            </w:tcMar>
            <w:vAlign w:val="center"/>
          </w:tcPr>
          <w:p>
            <w:r>
              <w:rPr>
                <w:b w:val="false"/>
                <w:bCs w:val="false"/>
                <w:color w:val="1A1A1A"/>
                <w:sz w:val="18"/>
                <w:szCs w:val="18"/>
              </w:rPr>
              <w:t xml:space="preserve">eVar</w:t>
            </w:r>
          </w:p>
        </w:tc>
        <w:tc>
          <w:tcPr>
            <w:tcW w:type="dxa" w:w="1900"/>
            <w:shd w:fill="F1EFE8" w:val="clear"/>
            <w:tcMar>
              <w:top w:type="dxa" w:w="80"/>
              <w:left w:type="dxa" w:w="100"/>
              <w:bottom w:type="dxa" w:w="80"/>
              <w:right w:type="dxa" w:w="100"/>
            </w:tcMar>
            <w:vAlign w:val="center"/>
          </w:tcPr>
          <w:p>
            <w:r>
              <w:rPr>
                <w:b w:val="false"/>
                <w:bCs w:val="false"/>
                <w:color w:val="1A1A1A"/>
                <w:sz w:val="18"/>
                <w:szCs w:val="18"/>
              </w:rPr>
              <w:t xml:space="preserve">quantity</w:t>
            </w:r>
          </w:p>
        </w:tc>
        <w:tc>
          <w:tcPr>
            <w:tcW w:type="dxa" w:w="2100"/>
            <w:shd w:fill="F1EFE8" w:val="clear"/>
            <w:tcMar>
              <w:top w:type="dxa" w:w="80"/>
              <w:left w:type="dxa" w:w="100"/>
              <w:bottom w:type="dxa" w:w="80"/>
              <w:right w:type="dxa" w:w="100"/>
            </w:tcMar>
            <w:vAlign w:val="center"/>
          </w:tcPr>
          <w:p>
            <w:r>
              <w:rPr>
                <w:b w:val="false"/>
                <w:bCs w:val="false"/>
                <w:color w:val="1A1A1A"/>
                <w:sz w:val="18"/>
                <w:szCs w:val="18"/>
              </w:rPr>
              <w:t xml:space="preserve">Event hit</w:t>
            </w:r>
          </w:p>
        </w:tc>
        <w:tc>
          <w:tcPr>
            <w:tcW w:type="dxa" w:w="2860"/>
            <w:shd w:fill="F1EFE8" w:val="clear"/>
            <w:tcMar>
              <w:top w:type="dxa" w:w="80"/>
              <w:left w:type="dxa" w:w="100"/>
              <w:bottom w:type="dxa" w:w="80"/>
              <w:right w:type="dxa" w:w="100"/>
            </w:tcMar>
            <w:vAlign w:val="center"/>
          </w:tcPr>
          <w:p>
            <w:r>
              <w:rPr>
                <w:b w:val="false"/>
                <w:bCs w:val="false"/>
                <w:color w:val="1A1A1A"/>
                <w:sz w:val="18"/>
                <w:szCs w:val="18"/>
              </w:rPr>
              <w:t xml:space="preserve">Average order size and cart behavior</w:t>
            </w:r>
          </w:p>
        </w:tc>
      </w:tr>
      <w:tr>
        <w:tc>
          <w:tcPr>
            <w:tcW w:type="dxa" w:w="1500"/>
            <w:shd w:fill="FFFFFF" w:val="clear"/>
            <w:tcMar>
              <w:top w:type="dxa" w:w="80"/>
              <w:left w:type="dxa" w:w="100"/>
              <w:bottom w:type="dxa" w:w="80"/>
              <w:right w:type="dxa" w:w="100"/>
            </w:tcMar>
            <w:vAlign w:val="center"/>
          </w:tcPr>
          <w:p>
            <w:r>
              <w:rPr>
                <w:b w:val="false"/>
                <w:bCs w:val="false"/>
                <w:color w:val="1A1A1A"/>
                <w:sz w:val="18"/>
                <w:szCs w:val="18"/>
              </w:rPr>
              <w:t xml:space="preserve">eVar5 – Order ID</w:t>
            </w:r>
          </w:p>
        </w:tc>
        <w:tc>
          <w:tcPr>
            <w:tcW w:type="dxa" w:w="1000"/>
            <w:shd w:fill="FFFFFF" w:val="clear"/>
            <w:tcMar>
              <w:top w:type="dxa" w:w="80"/>
              <w:left w:type="dxa" w:w="100"/>
              <w:bottom w:type="dxa" w:w="80"/>
              <w:right w:type="dxa" w:w="100"/>
            </w:tcMar>
            <w:vAlign w:val="center"/>
          </w:tcPr>
          <w:p>
            <w:r>
              <w:rPr>
                <w:b w:val="false"/>
                <w:bCs w:val="false"/>
                <w:color w:val="1A1A1A"/>
                <w:sz w:val="18"/>
                <w:szCs w:val="18"/>
              </w:rPr>
              <w:t xml:space="preserve">eVar</w:t>
            </w:r>
          </w:p>
        </w:tc>
        <w:tc>
          <w:tcPr>
            <w:tcW w:type="dxa" w:w="1900"/>
            <w:shd w:fill="FFFFFF" w:val="clear"/>
            <w:tcMar>
              <w:top w:type="dxa" w:w="80"/>
              <w:left w:type="dxa" w:w="100"/>
              <w:bottom w:type="dxa" w:w="80"/>
              <w:right w:type="dxa" w:w="100"/>
            </w:tcMar>
            <w:vAlign w:val="center"/>
          </w:tcPr>
          <w:p>
            <w:r>
              <w:rPr>
                <w:b w:val="false"/>
                <w:bCs w:val="false"/>
                <w:color w:val="1A1A1A"/>
                <w:sz w:val="18"/>
                <w:szCs w:val="18"/>
              </w:rPr>
              <w:t xml:space="preserve">transaction_id</w:t>
            </w:r>
          </w:p>
        </w:tc>
        <w:tc>
          <w:tcPr>
            <w:tcW w:type="dxa" w:w="2100"/>
            <w:shd w:fill="FFFFFF" w:val="clear"/>
            <w:tcMar>
              <w:top w:type="dxa" w:w="80"/>
              <w:left w:type="dxa" w:w="100"/>
              <w:bottom w:type="dxa" w:w="80"/>
              <w:right w:type="dxa" w:w="100"/>
            </w:tcMar>
            <w:vAlign w:val="center"/>
          </w:tcPr>
          <w:p>
            <w:r>
              <w:rPr>
                <w:b w:val="false"/>
                <w:bCs w:val="false"/>
                <w:color w:val="1A1A1A"/>
                <w:sz w:val="18"/>
                <w:szCs w:val="18"/>
              </w:rPr>
              <w:t xml:space="preserve">Event hit (purchase)</w:t>
            </w:r>
          </w:p>
        </w:tc>
        <w:tc>
          <w:tcPr>
            <w:tcW w:type="dxa" w:w="2860"/>
            <w:shd w:fill="FFFFFF" w:val="clear"/>
            <w:tcMar>
              <w:top w:type="dxa" w:w="80"/>
              <w:left w:type="dxa" w:w="100"/>
              <w:bottom w:type="dxa" w:w="80"/>
              <w:right w:type="dxa" w:w="100"/>
            </w:tcMar>
            <w:vAlign w:val="center"/>
          </w:tcPr>
          <w:p>
            <w:r>
              <w:rPr>
                <w:b w:val="false"/>
                <w:bCs w:val="false"/>
                <w:color w:val="1A1A1A"/>
                <w:sz w:val="18"/>
                <w:szCs w:val="18"/>
              </w:rPr>
              <w:t xml:space="preserve">Conversion deduplication, attribution</w:t>
            </w:r>
          </w:p>
        </w:tc>
      </w:tr>
      <w:tr>
        <w:tc>
          <w:tcPr>
            <w:tcW w:type="dxa" w:w="1500"/>
            <w:shd w:fill="F1EFE8" w:val="clear"/>
            <w:tcMar>
              <w:top w:type="dxa" w:w="80"/>
              <w:left w:type="dxa" w:w="100"/>
              <w:bottom w:type="dxa" w:w="80"/>
              <w:right w:type="dxa" w:w="100"/>
            </w:tcMar>
            <w:vAlign w:val="center"/>
          </w:tcPr>
          <w:p>
            <w:r>
              <w:rPr>
                <w:b w:val="false"/>
                <w:bCs w:val="false"/>
                <w:color w:val="1A1A1A"/>
                <w:sz w:val="18"/>
                <w:szCs w:val="18"/>
              </w:rPr>
              <w:t xml:space="preserve">eVar6 – Search Term</w:t>
            </w:r>
          </w:p>
        </w:tc>
        <w:tc>
          <w:tcPr>
            <w:tcW w:type="dxa" w:w="1000"/>
            <w:shd w:fill="F1EFE8" w:val="clear"/>
            <w:tcMar>
              <w:top w:type="dxa" w:w="80"/>
              <w:left w:type="dxa" w:w="100"/>
              <w:bottom w:type="dxa" w:w="80"/>
              <w:right w:type="dxa" w:w="100"/>
            </w:tcMar>
            <w:vAlign w:val="center"/>
          </w:tcPr>
          <w:p>
            <w:r>
              <w:rPr>
                <w:b w:val="false"/>
                <w:bCs w:val="false"/>
                <w:color w:val="1A1A1A"/>
                <w:sz w:val="18"/>
                <w:szCs w:val="18"/>
              </w:rPr>
              <w:t xml:space="preserve">eVar</w:t>
            </w:r>
          </w:p>
        </w:tc>
        <w:tc>
          <w:tcPr>
            <w:tcW w:type="dxa" w:w="1900"/>
            <w:shd w:fill="F1EFE8" w:val="clear"/>
            <w:tcMar>
              <w:top w:type="dxa" w:w="80"/>
              <w:left w:type="dxa" w:w="100"/>
              <w:bottom w:type="dxa" w:w="80"/>
              <w:right w:type="dxa" w:w="100"/>
            </w:tcMar>
            <w:vAlign w:val="center"/>
          </w:tcPr>
          <w:p>
            <w:r>
              <w:rPr>
                <w:b w:val="false"/>
                <w:bCs w:val="false"/>
                <w:color w:val="1A1A1A"/>
                <w:sz w:val="18"/>
                <w:szCs w:val="18"/>
              </w:rPr>
              <w:t xml:space="preserve">search_term</w:t>
            </w:r>
          </w:p>
        </w:tc>
        <w:tc>
          <w:tcPr>
            <w:tcW w:type="dxa" w:w="2100"/>
            <w:shd w:fill="F1EFE8" w:val="clear"/>
            <w:tcMar>
              <w:top w:type="dxa" w:w="80"/>
              <w:left w:type="dxa" w:w="100"/>
              <w:bottom w:type="dxa" w:w="80"/>
              <w:right w:type="dxa" w:w="100"/>
            </w:tcMar>
            <w:vAlign w:val="center"/>
          </w:tcPr>
          <w:p>
            <w:r>
              <w:rPr>
                <w:b w:val="false"/>
                <w:bCs w:val="false"/>
                <w:color w:val="1A1A1A"/>
                <w:sz w:val="18"/>
                <w:szCs w:val="18"/>
              </w:rPr>
              <w:t xml:space="preserve">Expires on next hit (session)</w:t>
            </w:r>
          </w:p>
        </w:tc>
        <w:tc>
          <w:tcPr>
            <w:tcW w:type="dxa" w:w="2860"/>
            <w:shd w:fill="F1EFE8" w:val="clear"/>
            <w:tcMar>
              <w:top w:type="dxa" w:w="80"/>
              <w:left w:type="dxa" w:w="100"/>
              <w:bottom w:type="dxa" w:w="80"/>
              <w:right w:type="dxa" w:w="100"/>
            </w:tcMar>
            <w:vAlign w:val="center"/>
          </w:tcPr>
          <w:p>
            <w:r>
              <w:rPr>
                <w:b w:val="false"/>
                <w:bCs w:val="false"/>
                <w:color w:val="1A1A1A"/>
                <w:sz w:val="18"/>
                <w:szCs w:val="18"/>
              </w:rPr>
              <w:t xml:space="preserve">Search intent vs. cart conversion</w:t>
            </w:r>
          </w:p>
        </w:tc>
      </w:tr>
      <w:tr>
        <w:tc>
          <w:tcPr>
            <w:tcW w:type="dxa" w:w="1500"/>
            <w:shd w:fill="FFFFFF" w:val="clear"/>
            <w:tcMar>
              <w:top w:type="dxa" w:w="80"/>
              <w:left w:type="dxa" w:w="100"/>
              <w:bottom w:type="dxa" w:w="80"/>
              <w:right w:type="dxa" w:w="100"/>
            </w:tcMar>
            <w:vAlign w:val="center"/>
          </w:tcPr>
          <w:p>
            <w:r>
              <w:rPr>
                <w:b w:val="false"/>
                <w:bCs w:val="false"/>
                <w:color w:val="1A1A1A"/>
                <w:sz w:val="18"/>
                <w:szCs w:val="18"/>
              </w:rPr>
              <w:t xml:space="preserve">eVar7 – List/Placement Name</w:t>
            </w:r>
          </w:p>
        </w:tc>
        <w:tc>
          <w:tcPr>
            <w:tcW w:type="dxa" w:w="1000"/>
            <w:shd w:fill="FFFFFF" w:val="clear"/>
            <w:tcMar>
              <w:top w:type="dxa" w:w="80"/>
              <w:left w:type="dxa" w:w="100"/>
              <w:bottom w:type="dxa" w:w="80"/>
              <w:right w:type="dxa" w:w="100"/>
            </w:tcMar>
            <w:vAlign w:val="center"/>
          </w:tcPr>
          <w:p>
            <w:r>
              <w:rPr>
                <w:b w:val="false"/>
                <w:bCs w:val="false"/>
                <w:color w:val="1A1A1A"/>
                <w:sz w:val="18"/>
                <w:szCs w:val="18"/>
              </w:rPr>
              <w:t xml:space="preserve">eVar</w:t>
            </w:r>
          </w:p>
        </w:tc>
        <w:tc>
          <w:tcPr>
            <w:tcW w:type="dxa" w:w="1900"/>
            <w:shd w:fill="FFFFFF" w:val="clear"/>
            <w:tcMar>
              <w:top w:type="dxa" w:w="80"/>
              <w:left w:type="dxa" w:w="100"/>
              <w:bottom w:type="dxa" w:w="80"/>
              <w:right w:type="dxa" w:w="100"/>
            </w:tcMar>
            <w:vAlign w:val="center"/>
          </w:tcPr>
          <w:p>
            <w:r>
              <w:rPr>
                <w:b w:val="false"/>
                <w:bCs w:val="false"/>
                <w:color w:val="1A1A1A"/>
                <w:sz w:val="18"/>
                <w:szCs w:val="18"/>
              </w:rPr>
              <w:t xml:space="preserve">item_list_name</w:t>
            </w:r>
          </w:p>
        </w:tc>
        <w:tc>
          <w:tcPr>
            <w:tcW w:type="dxa" w:w="2100"/>
            <w:shd w:fill="FFFFFF" w:val="clear"/>
            <w:tcMar>
              <w:top w:type="dxa" w:w="80"/>
              <w:left w:type="dxa" w:w="100"/>
              <w:bottom w:type="dxa" w:w="80"/>
              <w:right w:type="dxa" w:w="100"/>
            </w:tcMar>
            <w:vAlign w:val="center"/>
          </w:tcPr>
          <w:p>
            <w:r>
              <w:rPr>
                <w:b w:val="false"/>
                <w:bCs w:val="false"/>
                <w:color w:val="1A1A1A"/>
                <w:sz w:val="18"/>
                <w:szCs w:val="18"/>
              </w:rPr>
              <w:t xml:space="preserve">Expires on click (visit)</w:t>
            </w:r>
          </w:p>
        </w:tc>
        <w:tc>
          <w:tcPr>
            <w:tcW w:type="dxa" w:w="2860"/>
            <w:shd w:fill="FFFFFF" w:val="clear"/>
            <w:tcMar>
              <w:top w:type="dxa" w:w="80"/>
              <w:left w:type="dxa" w:w="100"/>
              <w:bottom w:type="dxa" w:w="80"/>
              <w:right w:type="dxa" w:w="100"/>
            </w:tcMar>
            <w:vAlign w:val="center"/>
          </w:tcPr>
          <w:p>
            <w:r>
              <w:rPr>
                <w:b w:val="false"/>
                <w:bCs w:val="false"/>
                <w:color w:val="1A1A1A"/>
                <w:sz w:val="18"/>
                <w:szCs w:val="18"/>
              </w:rPr>
              <w:t xml:space="preserve">Where the user came from before the PDP</w:t>
            </w:r>
          </w:p>
        </w:tc>
      </w:tr>
      <w:tr>
        <w:tc>
          <w:tcPr>
            <w:tcW w:type="dxa" w:w="1500"/>
            <w:shd w:fill="F1EFE8" w:val="clear"/>
            <w:tcMar>
              <w:top w:type="dxa" w:w="80"/>
              <w:left w:type="dxa" w:w="100"/>
              <w:bottom w:type="dxa" w:w="80"/>
              <w:right w:type="dxa" w:w="100"/>
            </w:tcMar>
            <w:vAlign w:val="center"/>
          </w:tcPr>
          <w:p>
            <w:r>
              <w:rPr>
                <w:b w:val="false"/>
                <w:bCs w:val="false"/>
                <w:color w:val="1A1A1A"/>
                <w:sz w:val="18"/>
                <w:szCs w:val="18"/>
              </w:rPr>
              <w:t xml:space="preserve">eVar8 – List Position</w:t>
            </w:r>
          </w:p>
        </w:tc>
        <w:tc>
          <w:tcPr>
            <w:tcW w:type="dxa" w:w="1000"/>
            <w:shd w:fill="F1EFE8" w:val="clear"/>
            <w:tcMar>
              <w:top w:type="dxa" w:w="80"/>
              <w:left w:type="dxa" w:w="100"/>
              <w:bottom w:type="dxa" w:w="80"/>
              <w:right w:type="dxa" w:w="100"/>
            </w:tcMar>
            <w:vAlign w:val="center"/>
          </w:tcPr>
          <w:p>
            <w:r>
              <w:rPr>
                <w:b w:val="false"/>
                <w:bCs w:val="false"/>
                <w:color w:val="1A1A1A"/>
                <w:sz w:val="18"/>
                <w:szCs w:val="18"/>
              </w:rPr>
              <w:t xml:space="preserve">eVar</w:t>
            </w:r>
          </w:p>
        </w:tc>
        <w:tc>
          <w:tcPr>
            <w:tcW w:type="dxa" w:w="1900"/>
            <w:shd w:fill="F1EFE8" w:val="clear"/>
            <w:tcMar>
              <w:top w:type="dxa" w:w="80"/>
              <w:left w:type="dxa" w:w="100"/>
              <w:bottom w:type="dxa" w:w="80"/>
              <w:right w:type="dxa" w:w="100"/>
            </w:tcMar>
            <w:vAlign w:val="center"/>
          </w:tcPr>
          <w:p>
            <w:r>
              <w:rPr>
                <w:b w:val="false"/>
                <w:bCs w:val="false"/>
                <w:color w:val="1A1A1A"/>
                <w:sz w:val="18"/>
                <w:szCs w:val="18"/>
              </w:rPr>
              <w:t xml:space="preserve">item_list_index</w:t>
            </w:r>
          </w:p>
        </w:tc>
        <w:tc>
          <w:tcPr>
            <w:tcW w:type="dxa" w:w="2100"/>
            <w:shd w:fill="F1EFE8" w:val="clear"/>
            <w:tcMar>
              <w:top w:type="dxa" w:w="80"/>
              <w:left w:type="dxa" w:w="100"/>
              <w:bottom w:type="dxa" w:w="80"/>
              <w:right w:type="dxa" w:w="100"/>
            </w:tcMar>
            <w:vAlign w:val="center"/>
          </w:tcPr>
          <w:p>
            <w:r>
              <w:rPr>
                <w:b w:val="false"/>
                <w:bCs w:val="false"/>
                <w:color w:val="1A1A1A"/>
                <w:sz w:val="18"/>
                <w:szCs w:val="18"/>
              </w:rPr>
              <w:t xml:space="preserve">Expires on click (visit)</w:t>
            </w:r>
          </w:p>
        </w:tc>
        <w:tc>
          <w:tcPr>
            <w:tcW w:type="dxa" w:w="2860"/>
            <w:shd w:fill="F1EFE8" w:val="clear"/>
            <w:tcMar>
              <w:top w:type="dxa" w:w="80"/>
              <w:left w:type="dxa" w:w="100"/>
              <w:bottom w:type="dxa" w:w="80"/>
              <w:right w:type="dxa" w:w="100"/>
            </w:tcMar>
            <w:vAlign w:val="center"/>
          </w:tcPr>
          <w:p>
            <w:r>
              <w:rPr>
                <w:b w:val="false"/>
                <w:bCs w:val="false"/>
                <w:color w:val="1A1A1A"/>
                <w:sz w:val="18"/>
                <w:szCs w:val="18"/>
              </w:rPr>
              <w:t xml:space="preserve">Effect of list position on conversion</w:t>
            </w:r>
          </w:p>
        </w:tc>
      </w:tr>
      <w:tr>
        <w:tc>
          <w:tcPr>
            <w:tcW w:type="dxa" w:w="1500"/>
            <w:shd w:fill="FFFFFF" w:val="clear"/>
            <w:tcMar>
              <w:top w:type="dxa" w:w="80"/>
              <w:left w:type="dxa" w:w="100"/>
              <w:bottom w:type="dxa" w:w="80"/>
              <w:right w:type="dxa" w:w="100"/>
            </w:tcMar>
            <w:vAlign w:val="center"/>
          </w:tcPr>
          <w:p>
            <w:r>
              <w:rPr>
                <w:b w:val="false"/>
                <w:bCs w:val="false"/>
                <w:color w:val="1A1A1A"/>
                <w:sz w:val="18"/>
                <w:szCs w:val="18"/>
              </w:rPr>
              <w:t xml:space="preserve">eVar9 – Promo ID</w:t>
            </w:r>
          </w:p>
        </w:tc>
        <w:tc>
          <w:tcPr>
            <w:tcW w:type="dxa" w:w="1000"/>
            <w:shd w:fill="FFFFFF" w:val="clear"/>
            <w:tcMar>
              <w:top w:type="dxa" w:w="80"/>
              <w:left w:type="dxa" w:w="100"/>
              <w:bottom w:type="dxa" w:w="80"/>
              <w:right w:type="dxa" w:w="100"/>
            </w:tcMar>
            <w:vAlign w:val="center"/>
          </w:tcPr>
          <w:p>
            <w:r>
              <w:rPr>
                <w:b w:val="false"/>
                <w:bCs w:val="false"/>
                <w:color w:val="1A1A1A"/>
                <w:sz w:val="18"/>
                <w:szCs w:val="18"/>
              </w:rPr>
              <w:t xml:space="preserve">eVar</w:t>
            </w:r>
          </w:p>
        </w:tc>
        <w:tc>
          <w:tcPr>
            <w:tcW w:type="dxa" w:w="1900"/>
            <w:shd w:fill="FFFFFF" w:val="clear"/>
            <w:tcMar>
              <w:top w:type="dxa" w:w="80"/>
              <w:left w:type="dxa" w:w="100"/>
              <w:bottom w:type="dxa" w:w="80"/>
              <w:right w:type="dxa" w:w="100"/>
            </w:tcMar>
            <w:vAlign w:val="center"/>
          </w:tcPr>
          <w:p>
            <w:r>
              <w:rPr>
                <w:b w:val="false"/>
                <w:bCs w:val="false"/>
                <w:color w:val="1A1A1A"/>
                <w:sz w:val="18"/>
                <w:szCs w:val="18"/>
              </w:rPr>
              <w:t xml:space="preserve">promotion_id</w:t>
            </w:r>
          </w:p>
        </w:tc>
        <w:tc>
          <w:tcPr>
            <w:tcW w:type="dxa" w:w="2100"/>
            <w:shd w:fill="FFFFFF" w:val="clear"/>
            <w:tcMar>
              <w:top w:type="dxa" w:w="80"/>
              <w:left w:type="dxa" w:w="100"/>
              <w:bottom w:type="dxa" w:w="80"/>
              <w:right w:type="dxa" w:w="100"/>
            </w:tcMar>
            <w:vAlign w:val="center"/>
          </w:tcPr>
          <w:p>
            <w:r>
              <w:rPr>
                <w:b w:val="false"/>
                <w:bCs w:val="false"/>
                <w:color w:val="1A1A1A"/>
                <w:sz w:val="18"/>
                <w:szCs w:val="18"/>
              </w:rPr>
              <w:t xml:space="preserve">Expires on click (visit)</w:t>
            </w:r>
          </w:p>
        </w:tc>
        <w:tc>
          <w:tcPr>
            <w:tcW w:type="dxa" w:w="2860"/>
            <w:shd w:fill="FFFFFF" w:val="clear"/>
            <w:tcMar>
              <w:top w:type="dxa" w:w="80"/>
              <w:left w:type="dxa" w:w="100"/>
              <w:bottom w:type="dxa" w:w="80"/>
              <w:right w:type="dxa" w:w="100"/>
            </w:tcMar>
            <w:vAlign w:val="center"/>
          </w:tcPr>
          <w:p>
            <w:r>
              <w:rPr>
                <w:b w:val="false"/>
                <w:bCs w:val="false"/>
                <w:color w:val="1A1A1A"/>
                <w:sz w:val="18"/>
                <w:szCs w:val="18"/>
              </w:rPr>
              <w:t xml:space="preserve">Promotion attribution to conversion</w:t>
            </w:r>
          </w:p>
        </w:tc>
      </w:tr>
      <w:tr>
        <w:tc>
          <w:tcPr>
            <w:tcW w:type="dxa" w:w="1500"/>
            <w:shd w:fill="F1EFE8" w:val="clear"/>
            <w:tcMar>
              <w:top w:type="dxa" w:w="80"/>
              <w:left w:type="dxa" w:w="100"/>
              <w:bottom w:type="dxa" w:w="80"/>
              <w:right w:type="dxa" w:w="100"/>
            </w:tcMar>
            <w:vAlign w:val="center"/>
          </w:tcPr>
          <w:p>
            <w:r>
              <w:rPr>
                <w:b w:val="false"/>
                <w:bCs w:val="false"/>
                <w:color w:val="1A1A1A"/>
                <w:sz w:val="18"/>
                <w:szCs w:val="18"/>
              </w:rPr>
              <w:t xml:space="preserve">prop – CTA Visible</w:t>
            </w:r>
          </w:p>
        </w:tc>
        <w:tc>
          <w:tcPr>
            <w:tcW w:type="dxa" w:w="1000"/>
            <w:shd w:fill="F1EFE8" w:val="clear"/>
            <w:tcMar>
              <w:top w:type="dxa" w:w="80"/>
              <w:left w:type="dxa" w:w="100"/>
              <w:bottom w:type="dxa" w:w="80"/>
              <w:right w:type="dxa" w:w="100"/>
            </w:tcMar>
            <w:vAlign w:val="center"/>
          </w:tcPr>
          <w:p>
            <w:r>
              <w:rPr>
                <w:b w:val="false"/>
                <w:bCs w:val="false"/>
                <w:color w:val="1A1A1A"/>
                <w:sz w:val="18"/>
                <w:szCs w:val="18"/>
              </w:rPr>
              <w:t xml:space="preserve">prop (proposed)</w:t>
            </w:r>
          </w:p>
        </w:tc>
        <w:tc>
          <w:tcPr>
            <w:tcW w:type="dxa" w:w="1900"/>
            <w:shd w:fill="F1EFE8" w:val="clear"/>
            <w:tcMar>
              <w:top w:type="dxa" w:w="80"/>
              <w:left w:type="dxa" w:w="100"/>
              <w:bottom w:type="dxa" w:w="80"/>
              <w:right w:type="dxa" w:w="100"/>
            </w:tcMar>
            <w:vAlign w:val="center"/>
          </w:tcPr>
          <w:p>
            <w:r>
              <w:rPr>
                <w:b w:val="false"/>
                <w:bCs w:val="false"/>
                <w:color w:val="1A1A1A"/>
                <w:sz w:val="18"/>
                <w:szCs w:val="18"/>
              </w:rPr>
              <w:t xml:space="preserve">Viewability event (new)</w:t>
            </w:r>
          </w:p>
        </w:tc>
        <w:tc>
          <w:tcPr>
            <w:tcW w:type="dxa" w:w="2100"/>
            <w:shd w:fill="F1EFE8" w:val="clear"/>
            <w:tcMar>
              <w:top w:type="dxa" w:w="80"/>
              <w:left w:type="dxa" w:w="100"/>
              <w:bottom w:type="dxa" w:w="80"/>
              <w:right w:type="dxa" w:w="100"/>
            </w:tcMar>
            <w:vAlign w:val="center"/>
          </w:tcPr>
          <w:p>
            <w:r>
              <w:rPr>
                <w:b w:val="false"/>
                <w:bCs w:val="false"/>
                <w:color w:val="1A1A1A"/>
                <w:sz w:val="18"/>
                <w:szCs w:val="18"/>
              </w:rPr>
              <w:t xml:space="preserve">Event hit</w:t>
            </w:r>
          </w:p>
        </w:tc>
        <w:tc>
          <w:tcPr>
            <w:tcW w:type="dxa" w:w="2860"/>
            <w:shd w:fill="F1EFE8" w:val="clear"/>
            <w:tcMar>
              <w:top w:type="dxa" w:w="80"/>
              <w:left w:type="dxa" w:w="100"/>
              <w:bottom w:type="dxa" w:w="80"/>
              <w:right w:type="dxa" w:w="100"/>
            </w:tcMar>
            <w:vAlign w:val="center"/>
          </w:tcPr>
          <w:p>
            <w:r>
              <w:rPr>
                <w:b w:val="false"/>
                <w:bCs w:val="false"/>
                <w:color w:val="1A1A1A"/>
                <w:sz w:val="18"/>
                <w:szCs w:val="18"/>
              </w:rPr>
              <w:t xml:space="preserve">Diagnostic: CTA exposure vs. interaction</w:t>
            </w:r>
          </w:p>
        </w:tc>
      </w:tr>
      <w:tr>
        <w:tc>
          <w:tcPr>
            <w:tcW w:type="dxa" w:w="1500"/>
            <w:shd w:fill="FFFFFF" w:val="clear"/>
            <w:tcMar>
              <w:top w:type="dxa" w:w="80"/>
              <w:left w:type="dxa" w:w="100"/>
              <w:bottom w:type="dxa" w:w="80"/>
              <w:right w:type="dxa" w:w="100"/>
            </w:tcMar>
            <w:vAlign w:val="center"/>
          </w:tcPr>
          <w:p>
            <w:r>
              <w:rPr>
                <w:b w:val="false"/>
                <w:bCs w:val="false"/>
                <w:color w:val="1A1A1A"/>
                <w:sz w:val="18"/>
                <w:szCs w:val="18"/>
              </w:rPr>
              <w:t xml:space="preserve">prop – Stock Status</w:t>
            </w:r>
          </w:p>
        </w:tc>
        <w:tc>
          <w:tcPr>
            <w:tcW w:type="dxa" w:w="1000"/>
            <w:shd w:fill="FFFFFF" w:val="clear"/>
            <w:tcMar>
              <w:top w:type="dxa" w:w="80"/>
              <w:left w:type="dxa" w:w="100"/>
              <w:bottom w:type="dxa" w:w="80"/>
              <w:right w:type="dxa" w:w="100"/>
            </w:tcMar>
            <w:vAlign w:val="center"/>
          </w:tcPr>
          <w:p>
            <w:r>
              <w:rPr>
                <w:b w:val="false"/>
                <w:bCs w:val="false"/>
                <w:color w:val="1A1A1A"/>
                <w:sz w:val="18"/>
                <w:szCs w:val="18"/>
              </w:rPr>
              <w:t xml:space="preserve">prop (proposed)</w:t>
            </w:r>
          </w:p>
        </w:tc>
        <w:tc>
          <w:tcPr>
            <w:tcW w:type="dxa" w:w="1900"/>
            <w:shd w:fill="FFFFFF" w:val="clear"/>
            <w:tcMar>
              <w:top w:type="dxa" w:w="80"/>
              <w:left w:type="dxa" w:w="100"/>
              <w:bottom w:type="dxa" w:w="80"/>
              <w:right w:type="dxa" w:w="100"/>
            </w:tcMar>
            <w:vAlign w:val="center"/>
          </w:tcPr>
          <w:p>
            <w:r>
              <w:rPr>
                <w:b w:val="false"/>
                <w:bCs w:val="false"/>
                <w:color w:val="1A1A1A"/>
                <w:sz w:val="18"/>
                <w:szCs w:val="18"/>
              </w:rPr>
              <w:t xml:space="preserve">Product attribute (new)</w:t>
            </w:r>
          </w:p>
        </w:tc>
        <w:tc>
          <w:tcPr>
            <w:tcW w:type="dxa" w:w="2100"/>
            <w:shd w:fill="FFFFFF" w:val="clear"/>
            <w:tcMar>
              <w:top w:type="dxa" w:w="80"/>
              <w:left w:type="dxa" w:w="100"/>
              <w:bottom w:type="dxa" w:w="80"/>
              <w:right w:type="dxa" w:w="100"/>
            </w:tcMar>
            <w:vAlign w:val="center"/>
          </w:tcPr>
          <w:p>
            <w:r>
              <w:rPr>
                <w:b w:val="false"/>
                <w:bCs w:val="false"/>
                <w:color w:val="1A1A1A"/>
                <w:sz w:val="18"/>
                <w:szCs w:val="18"/>
              </w:rPr>
              <w:t xml:space="preserve">Event hit</w:t>
            </w:r>
          </w:p>
        </w:tc>
        <w:tc>
          <w:tcPr>
            <w:tcW w:type="dxa" w:w="2860"/>
            <w:shd w:fill="FFFFFF" w:val="clear"/>
            <w:tcMar>
              <w:top w:type="dxa" w:w="80"/>
              <w:left w:type="dxa" w:w="100"/>
              <w:bottom w:type="dxa" w:w="80"/>
              <w:right w:type="dxa" w:w="100"/>
            </w:tcMar>
            <w:vAlign w:val="center"/>
          </w:tcPr>
          <w:p>
            <w:r>
              <w:rPr>
                <w:b w:val="false"/>
                <w:bCs w:val="false"/>
                <w:color w:val="1A1A1A"/>
                <w:sz w:val="18"/>
                <w:szCs w:val="18"/>
              </w:rPr>
              <w:t xml:space="preserve">Diagnostic: availability vs. drop-off</w:t>
            </w:r>
          </w:p>
        </w:tc>
      </w:tr>
    </w:tbl>
    <w:p>
      <w:pPr>
        <w:pStyle w:val="Heading1"/>
        <w:pBdr>
          <w:bottom w:val="single" w:color="1F3864" w:sz="6" w:space="4"/>
        </w:pBdr>
        <w:spacing w:after="160" w:before="360"/>
      </w:pPr>
      <w:r>
        <w:rPr>
          <w:b/>
          <w:bCs/>
          <w:color w:val="1F3864"/>
          <w:sz w:val="26"/>
          <w:szCs w:val="26"/>
        </w:rPr>
        <w:t xml:space="preserve">5. Implementation rules</w:t>
      </w:r>
    </w:p>
    <w:p>
      <w:pPr>
        <w:pStyle w:val="ListParagraph"/>
        <w:numPr>
          <w:ilvl w:val="0"/>
          <w:numId w:val="2"/>
        </w:numPr>
        <w:spacing w:after="80" w:line="280"/>
      </w:pPr>
      <w:r>
        <w:rPr>
          <w:color w:val="1A1A1A"/>
          <w:sz w:val="21"/>
          <w:szCs w:val="21"/>
        </w:rPr>
        <w:t xml:space="preserve">Events fire from the data layer (not directly off the DOM) to decouple tracking from frontend changes.</w:t>
      </w:r>
    </w:p>
    <w:p>
      <w:pPr>
        <w:pStyle w:val="ListParagraph"/>
        <w:numPr>
          <w:ilvl w:val="0"/>
          <w:numId w:val="2"/>
        </w:numPr>
        <w:spacing w:after="80" w:line="280"/>
      </w:pPr>
      <w:r>
        <w:rPr>
          <w:color w:val="1A1A1A"/>
          <w:sz w:val="21"/>
          <w:szCs w:val="21"/>
        </w:rPr>
        <w:t xml:space="preserve">event3 (Add to Cart) requires serialization/deduplication: it only fires on a successful response from the cart backend, not on the raw button click — this prevents inflating the real conversion rate.</w:t>
      </w:r>
    </w:p>
    <w:p>
      <w:pPr>
        <w:pStyle w:val="ListParagraph"/>
        <w:numPr>
          <w:ilvl w:val="0"/>
          <w:numId w:val="2"/>
        </w:numPr>
        <w:spacing w:after="80" w:line="280"/>
      </w:pPr>
      <w:r>
        <w:rPr>
          <w:color w:val="1A1A1A"/>
          <w:sz w:val="21"/>
          <w:szCs w:val="21"/>
        </w:rPr>
        <w:t xml:space="preserve">List-related eVars (eVar7, eVar8) expire at the visit level and are cleared once the user navigates outside the list context, to avoid "leaking" attribution onto unrelated later views.</w:t>
      </w:r>
    </w:p>
    <w:p>
      <w:pPr>
        <w:pStyle w:val="ListParagraph"/>
        <w:numPr>
          <w:ilvl w:val="0"/>
          <w:numId w:val="2"/>
        </w:numPr>
        <w:spacing w:after="80" w:line="280"/>
      </w:pPr>
      <w:r>
        <w:rPr>
          <w:color w:val="1A1A1A"/>
          <w:sz w:val="21"/>
          <w:szCs w:val="21"/>
        </w:rPr>
        <w:t xml:space="preserve">eVar3 (Price Tier) is calculated in the data layer, not in Adobe, to keep it consistent with what the user actually sees (avoids mismatches when dynamic discounts apply).</w:t>
      </w:r>
    </w:p>
    <w:p>
      <w:pPr>
        <w:pStyle w:val="ListParagraph"/>
        <w:numPr>
          <w:ilvl w:val="0"/>
          <w:numId w:val="2"/>
        </w:numPr>
        <w:spacing w:after="80" w:line="280"/>
      </w:pPr>
      <w:r>
        <w:rPr>
          <w:color w:val="1A1A1A"/>
          <w:sz w:val="21"/>
          <w:szCs w:val="21"/>
        </w:rPr>
        <w:t xml:space="preserve">Every new event (CTA Visible, Failed add-to-cart) is implemented first in staging using Adobe Experience Platform Debugger / Assurance before being promoted to production.</w:t>
      </w:r>
    </w:p>
    <w:p>
      <w:pPr>
        <w:pStyle w:val="Heading1"/>
        <w:pBdr>
          <w:bottom w:val="single" w:color="1F3864" w:sz="6" w:space="4"/>
        </w:pBdr>
        <w:spacing w:after="160" w:before="360"/>
      </w:pPr>
      <w:r>
        <w:rPr>
          <w:b/>
          <w:bCs/>
          <w:color w:val="1F3864"/>
          <w:sz w:val="26"/>
          <w:szCs w:val="26"/>
        </w:rPr>
        <w:t xml:space="preserve">6. QA plan</w:t>
      </w:r>
    </w:p>
    <w:p>
      <w:pPr>
        <w:pStyle w:val="ListParagraph"/>
        <w:numPr>
          <w:ilvl w:val="0"/>
          <w:numId w:val="2"/>
        </w:numPr>
        <w:spacing w:after="80" w:line="280"/>
      </w:pPr>
      <w:r>
        <w:rPr>
          <w:color w:val="1A1A1A"/>
          <w:sz w:val="21"/>
          <w:szCs w:val="21"/>
        </w:rPr>
        <w:t xml:space="preserve">Validate every event in Assurance against the actual on-site action (1:1), including edge cases: out-of-stock product, empty cart, multiple rapid clicks on the CTA.</w:t>
      </w:r>
    </w:p>
    <w:p>
      <w:pPr>
        <w:pStyle w:val="ListParagraph"/>
        <w:numPr>
          <w:ilvl w:val="0"/>
          <w:numId w:val="2"/>
        </w:numPr>
        <w:spacing w:after="80" w:line="280"/>
      </w:pPr>
      <w:r>
        <w:rPr>
          <w:color w:val="1A1A1A"/>
          <w:sz w:val="21"/>
          <w:szCs w:val="21"/>
        </w:rPr>
        <w:t xml:space="preserve">Cross-check aggregate AA event volumes against the GA4 baseline (expecting deviations under 5%; larger deviations point to double-firing or event loss).</w:t>
      </w:r>
    </w:p>
    <w:p>
      <w:pPr>
        <w:pStyle w:val="ListParagraph"/>
        <w:numPr>
          <w:ilvl w:val="0"/>
          <w:numId w:val="2"/>
        </w:numPr>
        <w:spacing w:after="80" w:line="280"/>
      </w:pPr>
      <w:r>
        <w:rPr>
          <w:color w:val="1A1A1A"/>
          <w:sz w:val="21"/>
          <w:szCs w:val="21"/>
        </w:rPr>
        <w:t xml:space="preserve">Cross-QA by device and browser (minimum: Chrome/Safari desktop and mobile), since the business objective depends on comparing behavior across devices.</w:t>
      </w:r>
    </w:p>
    <w:p>
      <w:pPr>
        <w:pStyle w:val="ListParagraph"/>
        <w:numPr>
          <w:ilvl w:val="0"/>
          <w:numId w:val="2"/>
        </w:numPr>
        <w:spacing w:after="80" w:line="280"/>
      </w:pPr>
      <w:r>
        <w:rPr>
          <w:color w:val="1A1A1A"/>
          <w:sz w:val="21"/>
          <w:szCs w:val="21"/>
        </w:rPr>
        <w:t xml:space="preserve">Verify correct expiration of visit-level eVars (eVar7, eVar8) by simulating navigation across different lists within the same session.</w:t>
      </w:r>
    </w:p>
    <w:p>
      <w:pPr>
        <w:pStyle w:val="ListParagraph"/>
        <w:numPr>
          <w:ilvl w:val="0"/>
          <w:numId w:val="2"/>
        </w:numPr>
        <w:spacing w:after="80" w:line="280"/>
      </w:pPr>
      <w:r>
        <w:rPr>
          <w:color w:val="1A1A1A"/>
          <w:sz w:val="21"/>
          <w:szCs w:val="21"/>
        </w:rPr>
        <w:t xml:space="preserve">Analytics lead sign-off required before any release that touches the product or cart data layer.</w:t>
      </w:r>
    </w:p>
    <w:p>
      <w:pPr>
        <w:pStyle w:val="Heading1"/>
        <w:pBdr>
          <w:bottom w:val="single" w:color="1F3864" w:sz="6" w:space="4"/>
        </w:pBdr>
        <w:spacing w:after="160" w:before="360"/>
      </w:pPr>
      <w:r>
        <w:rPr>
          <w:b/>
          <w:bCs/>
          <w:color w:val="1F3864"/>
          <w:sz w:val="26"/>
          <w:szCs w:val="26"/>
        </w:rPr>
        <w:t xml:space="preserve">7. Team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1800"/>
            <w:shd w:fill="1F3864" w:val="clear"/>
            <w:tcMar>
              <w:top w:type="dxa" w:w="80"/>
              <w:left w:type="dxa" w:w="100"/>
              <w:bottom w:type="dxa" w:w="80"/>
              <w:right w:type="dxa" w:w="100"/>
            </w:tcMar>
            <w:vAlign w:val="center"/>
          </w:tcPr>
          <w:p>
            <w:r>
              <w:rPr>
                <w:b/>
                <w:bCs/>
                <w:color w:val="FFFFFF"/>
                <w:sz w:val="18"/>
                <w:szCs w:val="18"/>
              </w:rPr>
              <w:t xml:space="preserve">Team</w:t>
            </w:r>
          </w:p>
        </w:tc>
        <w:tc>
          <w:tcPr>
            <w:tcW w:type="dxa" w:w="3680"/>
            <w:shd w:fill="1F3864" w:val="clear"/>
            <w:tcMar>
              <w:top w:type="dxa" w:w="80"/>
              <w:left w:type="dxa" w:w="100"/>
              <w:bottom w:type="dxa" w:w="80"/>
              <w:right w:type="dxa" w:w="100"/>
            </w:tcMar>
            <w:vAlign w:val="center"/>
          </w:tcPr>
          <w:p>
            <w:r>
              <w:rPr>
                <w:b/>
                <w:bCs/>
                <w:color w:val="FFFFFF"/>
                <w:sz w:val="18"/>
                <w:szCs w:val="18"/>
              </w:rPr>
              <w:t xml:space="preserve">Responsibility in this plan</w:t>
            </w:r>
          </w:p>
        </w:tc>
        <w:tc>
          <w:tcPr>
            <w:tcW w:type="dxa" w:w="3880"/>
            <w:shd w:fill="1F3864" w:val="clear"/>
            <w:tcMar>
              <w:top w:type="dxa" w:w="80"/>
              <w:left w:type="dxa" w:w="100"/>
              <w:bottom w:type="dxa" w:w="80"/>
              <w:right w:type="dxa" w:w="100"/>
            </w:tcMar>
            <w:vAlign w:val="center"/>
          </w:tcPr>
          <w:p>
            <w:r>
              <w:rPr>
                <w:b/>
                <w:bCs/>
                <w:color w:val="FFFFFF"/>
                <w:sz w:val="18"/>
                <w:szCs w:val="18"/>
              </w:rPr>
              <w:t xml:space="preserve">Expected deliverable</w:t>
            </w:r>
          </w:p>
        </w:tc>
      </w:tr>
      <w:tr>
        <w:tc>
          <w:tcPr>
            <w:tcW w:type="dxa" w:w="1800"/>
            <w:shd w:fill="FFFFFF" w:val="clear"/>
            <w:tcMar>
              <w:top w:type="dxa" w:w="80"/>
              <w:left w:type="dxa" w:w="100"/>
              <w:bottom w:type="dxa" w:w="80"/>
              <w:right w:type="dxa" w:w="100"/>
            </w:tcMar>
            <w:vAlign w:val="center"/>
          </w:tcPr>
          <w:p>
            <w:r>
              <w:rPr>
                <w:b w:val="false"/>
                <w:bCs w:val="false"/>
                <w:color w:val="1A1A1A"/>
                <w:sz w:val="18"/>
                <w:szCs w:val="18"/>
              </w:rPr>
              <w:t xml:space="preserve">Development</w:t>
            </w:r>
          </w:p>
        </w:tc>
        <w:tc>
          <w:tcPr>
            <w:tcW w:type="dxa" w:w="3680"/>
            <w:shd w:fill="FFFFFF" w:val="clear"/>
            <w:tcMar>
              <w:top w:type="dxa" w:w="80"/>
              <w:left w:type="dxa" w:w="100"/>
              <w:bottom w:type="dxa" w:w="80"/>
              <w:right w:type="dxa" w:w="100"/>
            </w:tcMar>
            <w:vAlign w:val="center"/>
          </w:tcPr>
          <w:p>
            <w:r>
              <w:rPr>
                <w:b w:val="false"/>
                <w:bCs w:val="false"/>
                <w:color w:val="1A1A1A"/>
                <w:sz w:val="18"/>
                <w:szCs w:val="18"/>
              </w:rPr>
              <w:t xml:space="preserve">Implement the events and variables in the data layer per spec</w:t>
            </w:r>
          </w:p>
        </w:tc>
        <w:tc>
          <w:tcPr>
            <w:tcW w:type="dxa" w:w="3880"/>
            <w:shd w:fill="FFFFFF" w:val="clear"/>
            <w:tcMar>
              <w:top w:type="dxa" w:w="80"/>
              <w:left w:type="dxa" w:w="100"/>
              <w:bottom w:type="dxa" w:w="80"/>
              <w:right w:type="dxa" w:w="100"/>
            </w:tcMar>
            <w:vAlign w:val="center"/>
          </w:tcPr>
          <w:p>
            <w:r>
              <w:rPr>
                <w:b w:val="false"/>
                <w:bCs w:val="false"/>
                <w:color w:val="1A1A1A"/>
                <w:sz w:val="18"/>
                <w:szCs w:val="18"/>
              </w:rPr>
              <w:t xml:space="preserve">Working data layer in staging</w:t>
            </w:r>
          </w:p>
        </w:tc>
      </w:tr>
      <w:tr>
        <w:tc>
          <w:tcPr>
            <w:tcW w:type="dxa" w:w="1800"/>
            <w:shd w:fill="F1EFE8" w:val="clear"/>
            <w:tcMar>
              <w:top w:type="dxa" w:w="80"/>
              <w:left w:type="dxa" w:w="100"/>
              <w:bottom w:type="dxa" w:w="80"/>
              <w:right w:type="dxa" w:w="100"/>
            </w:tcMar>
            <w:vAlign w:val="center"/>
          </w:tcPr>
          <w:p>
            <w:r>
              <w:rPr>
                <w:b w:val="false"/>
                <w:bCs w:val="false"/>
                <w:color w:val="1A1A1A"/>
                <w:sz w:val="18"/>
                <w:szCs w:val="18"/>
              </w:rPr>
              <w:t xml:space="preserve">Product</w:t>
            </w:r>
          </w:p>
        </w:tc>
        <w:tc>
          <w:tcPr>
            <w:tcW w:type="dxa" w:w="3680"/>
            <w:shd w:fill="F1EFE8" w:val="clear"/>
            <w:tcMar>
              <w:top w:type="dxa" w:w="80"/>
              <w:left w:type="dxa" w:w="100"/>
              <w:bottom w:type="dxa" w:w="80"/>
              <w:right w:type="dxa" w:w="100"/>
            </w:tcMar>
            <w:vAlign w:val="center"/>
          </w:tcPr>
          <w:p>
            <w:r>
              <w:rPr>
                <w:b w:val="false"/>
                <w:bCs w:val="false"/>
                <w:color w:val="1A1A1A"/>
                <w:sz w:val="18"/>
                <w:szCs w:val="18"/>
              </w:rPr>
              <w:t xml:space="preserve">Define success criteria for experiments triggered by these findings (e.g. CTA redesign)</w:t>
            </w:r>
          </w:p>
        </w:tc>
        <w:tc>
          <w:tcPr>
            <w:tcW w:type="dxa" w:w="3880"/>
            <w:shd w:fill="F1EFE8" w:val="clear"/>
            <w:tcMar>
              <w:top w:type="dxa" w:w="80"/>
              <w:left w:type="dxa" w:w="100"/>
              <w:bottom w:type="dxa" w:w="80"/>
              <w:right w:type="dxa" w:w="100"/>
            </w:tcMar>
            <w:vAlign w:val="center"/>
          </w:tcPr>
          <w:p>
            <w:r>
              <w:rPr>
                <w:b w:val="false"/>
                <w:bCs w:val="false"/>
                <w:color w:val="1A1A1A"/>
                <w:sz w:val="18"/>
                <w:szCs w:val="18"/>
              </w:rPr>
              <w:t xml:space="preserve">Prioritized product hypotheses</w:t>
            </w:r>
          </w:p>
        </w:tc>
      </w:tr>
      <w:tr>
        <w:tc>
          <w:tcPr>
            <w:tcW w:type="dxa" w:w="1800"/>
            <w:shd w:fill="FFFFFF" w:val="clear"/>
            <w:tcMar>
              <w:top w:type="dxa" w:w="80"/>
              <w:left w:type="dxa" w:w="100"/>
              <w:bottom w:type="dxa" w:w="80"/>
              <w:right w:type="dxa" w:w="100"/>
            </w:tcMar>
            <w:vAlign w:val="center"/>
          </w:tcPr>
          <w:p>
            <w:r>
              <w:rPr>
                <w:b w:val="false"/>
                <w:bCs w:val="false"/>
                <w:color w:val="1A1A1A"/>
                <w:sz w:val="18"/>
                <w:szCs w:val="18"/>
              </w:rPr>
              <w:t xml:space="preserve">Marketing</w:t>
            </w:r>
          </w:p>
        </w:tc>
        <w:tc>
          <w:tcPr>
            <w:tcW w:type="dxa" w:w="3680"/>
            <w:shd w:fill="FFFFFF" w:val="clear"/>
            <w:tcMar>
              <w:top w:type="dxa" w:w="80"/>
              <w:left w:type="dxa" w:w="100"/>
              <w:bottom w:type="dxa" w:w="80"/>
              <w:right w:type="dxa" w:w="100"/>
            </w:tcMar>
            <w:vAlign w:val="center"/>
          </w:tcPr>
          <w:p>
            <w:r>
              <w:rPr>
                <w:b w:val="false"/>
                <w:bCs w:val="false"/>
                <w:color w:val="1A1A1A"/>
                <w:sz w:val="18"/>
                <w:szCs w:val="18"/>
              </w:rPr>
              <w:t xml:space="preserve">Ensure UTMs and promo IDs reach the data layer consistently so they don't distort eVar7/eVar9</w:t>
            </w:r>
          </w:p>
        </w:tc>
        <w:tc>
          <w:tcPr>
            <w:tcW w:type="dxa" w:w="3880"/>
            <w:shd w:fill="FFFFFF" w:val="clear"/>
            <w:tcMar>
              <w:top w:type="dxa" w:w="80"/>
              <w:left w:type="dxa" w:w="100"/>
              <w:bottom w:type="dxa" w:w="80"/>
              <w:right w:type="dxa" w:w="100"/>
            </w:tcMar>
            <w:vAlign w:val="center"/>
          </w:tcPr>
          <w:p>
            <w:r>
              <w:rPr>
                <w:b w:val="false"/>
                <w:bCs w:val="false"/>
                <w:color w:val="1A1A1A"/>
                <w:sz w:val="18"/>
                <w:szCs w:val="18"/>
              </w:rPr>
              <w:t xml:space="preserve">Campaign naming convention</w:t>
            </w:r>
          </w:p>
        </w:tc>
      </w:tr>
      <w:tr>
        <w:tc>
          <w:tcPr>
            <w:tcW w:type="dxa" w:w="1800"/>
            <w:shd w:fill="F1EFE8" w:val="clear"/>
            <w:tcMar>
              <w:top w:type="dxa" w:w="80"/>
              <w:left w:type="dxa" w:w="100"/>
              <w:bottom w:type="dxa" w:w="80"/>
              <w:right w:type="dxa" w:w="100"/>
            </w:tcMar>
            <w:vAlign w:val="center"/>
          </w:tcPr>
          <w:p>
            <w:r>
              <w:rPr>
                <w:b w:val="false"/>
                <w:bCs w:val="false"/>
                <w:color w:val="1A1A1A"/>
                <w:sz w:val="18"/>
                <w:szCs w:val="18"/>
              </w:rPr>
              <w:t xml:space="preserve">Analytics (lead)</w:t>
            </w:r>
          </w:p>
        </w:tc>
        <w:tc>
          <w:tcPr>
            <w:tcW w:type="dxa" w:w="3680"/>
            <w:shd w:fill="F1EFE8" w:val="clear"/>
            <w:tcMar>
              <w:top w:type="dxa" w:w="80"/>
              <w:left w:type="dxa" w:w="100"/>
              <w:bottom w:type="dxa" w:w="80"/>
              <w:right w:type="dxa" w:w="100"/>
            </w:tcMar>
            <w:vAlign w:val="center"/>
          </w:tcPr>
          <w:p>
            <w:r>
              <w:rPr>
                <w:b w:val="false"/>
                <w:bCs w:val="false"/>
                <w:color w:val="1A1A1A"/>
                <w:sz w:val="18"/>
                <w:szCs w:val="18"/>
              </w:rPr>
              <w:t xml:space="preserve">Owns the spec, QA of implementation, and translation of findings into actionable insights</w:t>
            </w:r>
          </w:p>
        </w:tc>
        <w:tc>
          <w:tcPr>
            <w:tcW w:type="dxa" w:w="3880"/>
            <w:shd w:fill="F1EFE8" w:val="clear"/>
            <w:tcMar>
              <w:top w:type="dxa" w:w="80"/>
              <w:left w:type="dxa" w:w="100"/>
              <w:bottom w:type="dxa" w:w="80"/>
              <w:right w:type="dxa" w:w="100"/>
            </w:tcMar>
            <w:vAlign w:val="center"/>
          </w:tcPr>
          <w:p>
            <w:r>
              <w:rPr>
                <w:b w:val="false"/>
                <w:bCs w:val="false"/>
                <w:color w:val="1A1A1A"/>
                <w:sz w:val="18"/>
                <w:szCs w:val="18"/>
              </w:rPr>
              <w:t xml:space="preserve">This tracking plan + monitoring dashboard</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2026-08-20T17:22:42.235Z</dcterms:created>
  <dcterms:modified xsi:type="dcterms:W3CDTF">2026-08-20T17:22:42.235Z</dcterms:modified>
</cp:coreProperties>
</file>

<file path=docProps/custom.xml><?xml version="1.0" encoding="utf-8"?>
<Properties xmlns="http://schemas.openxmlformats.org/officeDocument/2006/custom-properties" xmlns:vt="http://schemas.openxmlformats.org/officeDocument/2006/docPropsVTypes"/>
</file>