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30"/>
          <w:szCs w:val="30"/>
        </w:rPr>
        <w:t xml:space="preserve">Informe de fase — Esquema v2: diseño, gate de modelos, extracción y medición del escalón 1</w:t>
      </w:r>
    </w:p>
    <w:p>
      <w:pPr>
        <w:spacing w:after="120"/>
        <w:jc w:val="both"/>
      </w:pPr>
      <w:r>
        <w:rPr>
          <w:i/>
          <w:iCs/>
          <w:sz w:val="18"/>
          <w:szCs w:val="18"/>
        </w:rPr>
        <w:t xml:space="preserve">Proyecto Final de Ingeniería en IA — Grafo de conocimiento sobre normativa del BCRA. Período cubierto: 25–27/07/2026. Todos los números provienen de artefactos versionados del repositorio; cada tabla indica su fuente.</w:t>
      </w:r>
    </w:p>
    <w:p>
      <w:pPr>
        <w:spacing w:after="100"/>
      </w:pPr>
    </w:p>
    <w:p>
      <w:pPr>
        <w:pStyle w:val="Heading1"/>
        <w:spacing w:after="140" w:before="280"/>
      </w:pPr>
      <w:r>
        <w:t xml:space="preserve">1. Objetivo de la fase</w:t>
      </w:r>
    </w:p>
    <w:p>
      <w:pPr>
        <w:spacing w:after="120"/>
        <w:jc w:val="both"/>
      </w:pPr>
      <w:r>
        <w:t xml:space="preserve">Esta fase respondió, en cuatro etapas encadenadas, la pregunta central de diseño pendiente desde la reunión anterior: si un esquema de extracción con catálogo cerrado de sujetos, jerarquía de clases y roles por documento (esquema v2) mejora la fidelidad del sistema de consulta respecto del esquema original (run_3), manteniendo constante todo lo demás. Las etapas: (i) diseño y validación del esquema v2; (ii) gate multi-modelo para decidir el modelo de extracción; (iii) extracción completa del subset de cinco Textos Ordenados; (iv) medición comparativa con protocolo pre-registrado (escalón 1).</w:t>
      </w:r>
    </w:p>
    <w:p>
      <w:pPr>
        <w:pStyle w:val="Heading1"/>
        <w:spacing w:after="140" w:before="280"/>
      </w:pPr>
      <w:r>
        <w:t xml:space="preserve">2. Método</w:t>
      </w:r>
    </w:p>
    <w:p>
      <w:pPr>
        <w:spacing w:after="120"/>
        <w:jc w:val="both"/>
      </w:pPr>
      <w:r>
        <w:t xml:space="preserve">Esquema v2: catálogo cerrado de 58 clases de sujeto, 7 instancias, 5 roles por documento y 27 alias, con 9 pares disjuntos y verificación por enum en extracción; los sujetos no catalogados se derivan a cuarentena con padre sugerido. (esquema_v2_clases.json)</w:t>
      </w:r>
    </w:p>
    <w:p>
      <w:pPr>
        <w:spacing w:after="120"/>
        <w:jc w:val="both"/>
      </w:pPr>
      <w:r>
        <w:t xml:space="preserve">Gate B1: muestra de 18 chunks adversarial (10 defectos conocidos del bestiario, 4 de sujetos, 3 controles, 1 de fórmulas), answer key adjudicada contra los PDF y sellada por commit ANTES de toda corrida; 3 modelos × 2 réplicas × 18 chunks = 108 extracciones con verificación automática de corrida fresca; scoring mecánico más adjudicación humana final; regla de decisión R5 pre-declarada. (piloto/answer_key.json, doc_decision_B1.md)</w:t>
      </w:r>
    </w:p>
    <w:p>
      <w:pPr>
        <w:spacing w:after="120"/>
        <w:jc w:val="both"/>
      </w:pPr>
      <w:r>
        <w:t xml:space="preserve">Extracción U5: los 5 TO completos (508 chunks) con el modelo ganador del gate, namespace de caché nuevo, gate de salida estructural (validador de formas, esqueleto, integridad referencial) y triage humano de la totalidad de las señales del verificador léxico de sujetos. (informes/U5_2026-07-26.md, triage_sospechosas_U5.json)</w:t>
      </w:r>
    </w:p>
    <w:p>
      <w:pPr>
        <w:spacing w:after="120"/>
        <w:jc w:val="both"/>
      </w:pPr>
      <w:r>
        <w:t xml:space="preserve">Escalón 1: protocolo pre-registrado y sellado por commit (predicciones P1–P5, controles negativos con umbral operativo, atribución candidata); conjunto de evaluación EV1 de 36 preguntas generado a ciegas por una instancia sin acceso al proyecto (corpus verificado por hash, 5 descartes por anti-solapamiento contra conjuntos quemados, key adjudicada contra los PDF y sellada); 36 preguntas × 2 grafos × 3 réplicas = 216 corridas del agente congelado; juez congelado ciego al grafo; muestreo humano dirigido de todos los veredictos flaggeados; deslinde final existencia-vs-alcance de cada falla contra el grafo. (protocolo_escalon1.md, acta_adjudicacion_EV1.md, adjudicacion_humana_2026-07-26.json, deslinde_fallas_v2_2026-07-27.md)</w:t>
      </w:r>
    </w:p>
    <w:p>
      <w:pPr>
        <w:pStyle w:val="Heading1"/>
        <w:spacing w:after="140" w:before="280"/>
      </w:pPr>
      <w:r>
        <w:t xml:space="preserve">3. Resultados</w:t>
      </w:r>
    </w:p>
    <w:p>
      <w:pPr>
        <w:pStyle w:val="Heading2"/>
        <w:spacing w:after="100" w:before="200"/>
      </w:pPr>
      <w:r>
        <w:t xml:space="preserve">3.1 Gate B1 — decisión de modelo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2300"/>
        <w:gridCol w:w="1500"/>
        <w:gridCol w:w="1400"/>
        <w:gridCol w:w="1400"/>
      </w:tblGrid>
      <w:tr>
        <w:tc>
          <w:tcPr>
            <w:tcW w:type="dxa" w:w="17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Modelo (2 réplicas)</w:t>
            </w:r>
          </w:p>
        </w:tc>
        <w:tc>
          <w:tcPr>
            <w:tcW w:type="dxa" w:w="17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F1 contenido (hits/93)</w:t>
            </w:r>
          </w:p>
        </w:tc>
        <w:tc>
          <w:tcPr>
            <w:tcW w:type="dxa" w:w="23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F2 sujetos</w:t>
            </w:r>
          </w:p>
        </w:tc>
        <w:tc>
          <w:tcPr>
            <w:tcW w:type="dxa" w:w="15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Errores reales de sujeto</w:t>
            </w:r>
          </w:p>
        </w:tc>
        <w:tc>
          <w:tcPr>
            <w:tcW w:type="dxa" w:w="14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Costo por corrida (USD)</w:t>
            </w:r>
          </w:p>
        </w:tc>
        <w:tc>
          <w:tcPr>
            <w:tcW w:type="dxa" w:w="14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Proyección corpus (USD)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Haiku 4.5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42 / 32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mejor familia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0,39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≈123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Sonnet 4.5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37 / 35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déficit real (colapsa enumeraciones al rol)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1,14 prom.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≈361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Opus 4.5</w:t>
            </w:r>
          </w:p>
        </w:tc>
        <w:tc>
          <w:tcPr>
            <w:tcW w:type="dxa" w:w="17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36 / 39</w:t>
            </w:r>
          </w:p>
        </w:tc>
        <w:tc>
          <w:tcPr>
            <w:tcW w:type="dxa" w:w="23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paridad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1,72 prom.</w:t>
            </w:r>
          </w:p>
        </w:tc>
        <w:tc>
          <w:tcPr>
            <w:tcW w:type="dxa" w:w="1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≈544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Fuente: doc_decision_B1.md (tabla adjudicada); costo total del gate USD 6,49.</w:t>
      </w:r>
    </w:p>
    <w:p>
      <w:pPr>
        <w:spacing w:after="120"/>
        <w:jc w:val="both"/>
      </w:pPr>
      <w:r>
        <w:t xml:space="preserve">Ningún modelo dominó estrictamente a Haiku en las familias de métricas exigidas por la regla R5; la extracción se decidió con Haiku 4.5 (snapshot fechado, condición de paridad con Bedrock registrada para el escalado). Hallazgos del gate: las 16 entradas de cuarentena de los tres modelos fueron propuestas legítimas (cero evasiones de catálogo; la cuarentena crece con la capacidad del modelo por cautela, no por desobediencia); las 30 señales del verificador léxico fueron falsos positivos con causa mecánica identificada; 25 de los 26 disparos de emparejamientos prohibidos fueron artefactos del scorer verificados por inspección de nodos, y el restante una quimera real de contenido.</w:t>
      </w:r>
    </w:p>
    <w:p>
      <w:pPr>
        <w:pStyle w:val="Heading2"/>
        <w:spacing w:after="100" w:before="200"/>
      </w:pPr>
      <w:r>
        <w:t xml:space="preserve">3.2 Extracción U5 — el grafo v2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500"/>
        <w:gridCol w:w="1900"/>
      </w:tblGrid>
      <w:tr>
        <w:tc>
          <w:tcPr>
            <w:tcW w:type="dxa" w:w="34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Indicador</w:t>
            </w:r>
          </w:p>
        </w:tc>
        <w:tc>
          <w:tcPr>
            <w:tcW w:type="dxa" w:w="15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run_3 (v1)</w:t>
            </w:r>
          </w:p>
        </w:tc>
        <w:tc>
          <w:tcPr>
            <w:tcW w:type="dxa" w:w="19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grafo_v2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Nodos / aristas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4.050 / 6.634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3.872 / 7.231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Normas sin sujeto (S11)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755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206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Sujetos genéricos colgados (S10)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123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Duplicados de sujeto (S9)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53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Excepciones huérfanas (S12 — control)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30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Aristas de sujeto contra esqueleto/cuarentena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1.929/1.929 (100%)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Errores reales de sujeto (triage humano de 75 señales)</w:t>
            </w:r>
          </w:p>
        </w:tc>
        <w:tc>
          <w:tcPr>
            <w:tcW w:type="dxa" w:w="15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 aristas (1,6%)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Fuente: informes/U5_2026-07-26.md; triage_sospechosas_U5.json (44 FP / 31 VP adjudicados). Costo de extracción USD 10,72; 508/508 chunks.</w:t>
      </w:r>
    </w:p>
    <w:p>
      <w:pPr>
        <w:pStyle w:val="Heading2"/>
        <w:spacing w:after="100" w:before="200"/>
      </w:pPr>
      <w:r>
        <w:t xml:space="preserve">3.3 Escalón 1 — medición comparativa (tabla final adjudicada)</w:t>
      </w:r>
    </w:p>
    <w:tbl>
      <w:tblPr>
        <w:tblW w:type="dxa" w:w="6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</w:tblGrid>
      <w:tr>
        <w:tc>
          <w:tcPr>
            <w:tcW w:type="dxa" w:w="34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Métrica</w:t>
            </w:r>
          </w:p>
        </w:tc>
        <w:tc>
          <w:tcPr>
            <w:tcW w:type="dxa" w:w="16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run_3</w:t>
            </w:r>
          </w:p>
        </w:tc>
        <w:tc>
          <w:tcPr>
            <w:tcW w:type="dxa" w:w="18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grafo_v2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Global (36 preguntas, mayoría de 3 réplicas)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31 (86,1%)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27 (75,0%)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Puntuales (10)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Enumerativas (12)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Condicionales (8)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Sujeto (6)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Discordantes (McNemar b / c)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 = 2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 = 6</w:t>
            </w:r>
          </w:p>
        </w:tc>
      </w:tr>
      <w:tr>
        <w:tc>
          <w:tcPr>
            <w:tcW w:type="dxa" w:w="34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Uso del esqueleto en trazas</w:t>
            </w:r>
          </w:p>
        </w:tc>
        <w:tc>
          <w:tcPr>
            <w:tcW w:type="dxa" w:w="16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 / 108 (8,3%)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Fuente: resultados_FINALES_2026-07-26.json (tabla post-adjudicación humana; la tabla solo-juez daba 33/30 y el muestreo dirigido de flags movió 4 mayorías, dos en cada dirección de indulgencia). Costo de la medición USD 19,24.</w:t>
      </w:r>
    </w:p>
    <w:p>
      <w:pPr>
        <w:pStyle w:val="Heading2"/>
        <w:spacing w:after="100" w:before="200"/>
      </w:pPr>
      <w:r>
        <w:t xml:space="preserve">3.4 Deslinde causal de las fallas de grafo_v2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100"/>
        <w:gridCol w:w="1900"/>
      </w:tblGrid>
      <w:tr>
        <w:tc>
          <w:tcPr>
            <w:tcW w:type="dxa" w:w="42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Capa</w:t>
            </w:r>
          </w:p>
        </w:tc>
        <w:tc>
          <w:tcPr>
            <w:tcW w:type="dxa" w:w="11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Fallas</w:t>
            </w:r>
          </w:p>
        </w:tc>
        <w:tc>
          <w:tcPr>
            <w:tcW w:type="dxa" w:w="1900"/>
            <w:shd w:fill="DDDDDD" w:val="clear"/>
          </w:tcPr>
          <w:p>
            <w:r>
              <w:rPr>
                <w:b/>
                <w:bCs/>
                <w:sz w:val="19"/>
                <w:szCs w:val="19"/>
              </w:rPr>
              <w:t xml:space="preserve">Casos</w:t>
            </w:r>
          </w:p>
        </w:tc>
      </w:tr>
      <w:tr>
        <w:tc>
          <w:tcPr>
            <w:tcW w:type="dxa" w:w="4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Extracción / contenido (ausencias, amputación de calificadores, quimera sondeada)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 de 9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EV1-031, 042, 028, 011, 005, 039</w:t>
            </w:r>
          </w:p>
        </w:tc>
      </w:tr>
      <w:tr>
        <w:tc>
          <w:tcPr>
            <w:tcW w:type="dxa" w:w="4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Alcanzabilidad léxica (dato nodificado no alcanzado; H1)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 de 9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EV1-015, 018 (compartida con run_3)</w:t>
            </w:r>
          </w:p>
        </w:tc>
      </w:tr>
      <w:tr>
        <w:tc>
          <w:tcPr>
            <w:tcW w:type="dxa" w:w="4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Alcanzabilidad con varianza de réplica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 de 9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EV1-029</w:t>
            </w:r>
          </w:p>
        </w:tc>
      </w:tr>
      <w:tr>
        <w:tc>
          <w:tcPr>
            <w:tcW w:type="dxa" w:w="42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Mecanismo del esquema (sujetos, jerarquía, roles)</w:t>
            </w:r>
          </w:p>
        </w:tc>
        <w:tc>
          <w:tcPr>
            <w:tcW w:type="dxa" w:w="11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 de 9</w:t>
            </w:r>
          </w:p>
        </w:tc>
        <w:tc>
          <w:tcPr>
            <w:tcW w:type="dxa" w:w="1900"/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  <w:r>
        <w:rPr>
          <w:i/>
          <w:iCs/>
          <w:color w:val="666666"/>
          <w:sz w:val="16"/>
          <w:szCs w:val="16"/>
        </w:rPr>
        <w:t xml:space="preserve">Fuente: deslinde_fallas_v2_2026-07-27.md; fichas_fallas_v2.json. En las trazas fallidas, el agente agotó su presupuesto de herramientas en 5 de 6 casos y no consultó ningún nodo rol pese a que aparecieron en sus búsquedas.</w:t>
      </w:r>
    </w:p>
    <w:p>
      <w:pPr>
        <w:pStyle w:val="Heading1"/>
        <w:spacing w:after="140" w:before="280"/>
      </w:pPr>
      <w:r>
        <w:t xml:space="preserve">4. Hallazgos y decisiones</w:t>
      </w:r>
    </w:p>
    <w:p>
      <w:pPr>
        <w:pStyle w:val="Heading2"/>
        <w:spacing w:after="100" w:before="200"/>
      </w:pPr>
      <w:r>
        <w:t xml:space="preserve">4.1 Hallazgos (empíricos)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mecanismo de sujetos del esquema v2 no produjo un solo error en 216 corridas de consulta ni en 108 extracciones del gate; la familia condicional —la de la amputación de cláusulas— fue la única que grafo_v2 ganó (8/8 vs 7/8).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delta global (−4) reside íntegramente en capas no tratadas por la variable única: contenido extraído (6/9, incluida la quimera de la tabla del punto 1.2 pre-registrada como sonda antes de correr y confirmada por traza: el agente citó nodos reales y respondió la tabla invertida — la demostración empírica más limpia de que respuesta fundada no implica respuesta correcta) y alcanzabilidad léxica (3/9).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esqueleto jerárquico existe y es navegable (70 nodos, roles con grado 142–655), pero el agente congelado lo usó en 9 de 108 trazas y en los casos fallidos no abrió nodos rol que sus propias búsquedas le mostraron: el harness v1 es ciego a la estructura v2. La atribución candidata pre-registrada (truncamiento del límite de vecinos) resultó presente pero no operante: el límite vinculante fue la no-navegación más el agotamiento del presupuesto de herramientas.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herencia sin excepciones ancladas amplifica la confianza en la sobre-generalización: en EV1-028 el agente citó la arista de membresía del esqueleto como evidencia de un alcance cuya salvedad (mutuales y cooperativas) no fue extraída. Regla derivada: toda arista de membresía cuyo punto fuente contenga excepciones debe portar o enlazar sus bloqueadores.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juez automático aprobó respuestas evasivas y no-respuestas en ambas direcciones bajo sus propios flags de revisión, y emitió veredictos opuestos sobre respuestas casi idénticas: el muestreo humano dirigido de veredictos flaggeados movió 4 de 36 mayorías y queda incorporado como regla del pipeline de evaluación.</w:t>
      </w:r>
    </w:p>
    <w:p>
      <w:pPr>
        <w:pStyle w:val="Heading2"/>
        <w:spacing w:after="100" w:before="200"/>
      </w:pPr>
      <w:r>
        <w:t xml:space="preserve">4.2 Decisiones (de diseño, con fecha)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Extracción y escalado con Haiku 4.5 por regla R5 (26/07); condición registrada: el escalado en Bedrock exige el snapshot idéntico al piloteado.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grafo v2 se midió crudo, sin correcciones del backlog (laudo del 26/07): el refinamiento queda preservado como etapa propia y medible del marco de calidad por etapas — cada mejora, su experimento.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pipeline gateado no se modifica antes del escalado; toda mejora de extracción (por ejemplo, captura de excepciones ancladas) requiere su propio mini-gate.</w:t>
      </w:r>
    </w:p>
    <w:p>
      <w:pPr>
        <w:pStyle w:val="Heading1"/>
        <w:spacing w:after="140" w:before="280"/>
      </w:pPr>
      <w:r>
        <w:t xml:space="preserve">5. Limitaciones conocidas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N=36 sin potencia estadística: el diseño persigue dirección y concentración del efecto (pares discordantes), no significancia.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conjunto EV1 es nuevo y ciego, pero la generación a ciegas no controla la dificultad relativa por familia entre grafos; la comparación apareada por pregunta mitiga este sesgo.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Las diferencias de contenido entre extracciones son causalmente aguas abajo del cambio de esquema (el prompt de extracción difiere): el deslinde las atribuye a la capa de contenido, cuya varianza inter-réplica fue medida en el gate (Δ de hasta 10 hits entre réplicas del mismo modelo), pero no puede excluirse por completo una interacción esquema-contenido; el escalón de refinamiento la aislará.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verificador diagnóstico está calibrado sobre el esquema v1; sus atribuciones sobre grafo_v2 se trataron como exploratorias y la atribución en v2 fue íntegramente humana.</w:t>
      </w:r>
    </w:p>
    <w:p>
      <w:pPr>
        <w:pStyle w:val="Heading1"/>
        <w:spacing w:after="140" w:before="280"/>
      </w:pPr>
      <w:r>
        <w:t xml:space="preserve">6. Pendientes y próximos pasos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Refinamiento de contenido sobre el backlog adjudicado (31 aristas del triage + 9 fichas de la medición + regla de excepciones ancladas) — dueño: usuaria; diseño del experimento propio.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Índice léxico sobre descriptions (H1) — experimento pre-diseñado en notas; resolvería las 3 fallas de alcanzabilidad medidas — dueño: usuaria.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Co-diseño agente-estructura (prompt del agente con conocimiento de jerarquía y roles; presupuesto de herramientas) — dueño: usuaria; candidato a escalón 2 de la medición.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Escalado del corpus (161 TO) con el pipeline gateado, sujeto a la verificación del snapshot en Bedrock — autorizado en la reunión anterior; dueño: usuaria.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Decisión de prioridad entre los cuatro frentes — a discutir con los mentores en la próxima reunión.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2026-07-27T18:14:45.118Z</dcterms:created>
  <dcterms:modified xsi:type="dcterms:W3CDTF">2026-07-27T18:14:45.148Z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