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title</w:t>
      </w:r>
    </w:p>
    <w:p>
      <w:r>
        <w:t>Replace this with your letter body. The header, signal rule, and footer are part of the letterhead. Use the built-in styles so the document keeps the shared rhythm.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>Pataraz  ·  pataraz.com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55999" cy="365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taraz-lockup__positiv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3657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color="cf142a"/>
          </w:tcBorders>
        </w:tcPr>
        <w:p>
          <w:pPr>
            <w:spacing w:before="0" w:after="0"/>
          </w:pPr>
          <w:r>
            <w:rPr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Inter" w:hAnsi="Inter"/>
      <w:color w:val="1513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Inter Tight" w:hAnsi="Inter Tight"/>
      <w:b/>
      <w:bCs/>
      <w:color w:val="15130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Inter Tight" w:hAnsi="Inter Tight"/>
      <w:b/>
      <w:bCs/>
      <w:color w:val="15130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Tight" w:hAnsi="Inter Tight"/>
      <w:b/>
      <w:bCs/>
      <w:color w:val="CF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Inter Tight" w:hAnsi="Inter Tight"/>
      <w:b/>
      <w:color w:val="1513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ğustosLabel">
    <w:name w:val="Ağustos Label"/>
    <w:pPr>
      <w:spacing w:after="100"/>
    </w:pPr>
    <w:rPr>
      <w:rFonts w:ascii="Inter Tight" w:hAnsi="Inter Tight"/>
      <w:b/>
      <w:color w:val="CF1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