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Inter Tight" w:hAnsi="Inter Tight"/>
          <w:color w:val="1A1A1A"/>
          <w:sz w:val="40"/>
        </w:rPr>
        <w:t>Letter title</w:t>
      </w:r>
    </w:p>
    <w:p>
      <w:r>
        <w:t>Replace this with your letter body. The header logo, the brand rule, and the footer contact line are part of the letterhead — type your content here. Body text is set in Inter; install the bundled fonts so it renders correctly.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4A4A"/>
        <w:sz w:val="17"/>
      </w:rPr>
      <w:t>Ağustos Teknoloji  ·  lighting agency and distribution  ·  agustos.com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655999" cy="35121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gustos-lockup__positiv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35121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sz="18" w:space="6" w:color="cf142a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