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Inter Tight" w:hAnsi="Inter Tight"/>
          <w:color w:val="1A1A1A"/>
          <w:sz w:val="40"/>
        </w:rPr>
        <w:t>Letter title</w:t>
      </w:r>
    </w:p>
    <w:p>
      <w:r>
        <w:t>Replace this with your letter body. The header logo, the brand rule, and the footer contact line are part of the letterhead — type your content here. Body text is set in Inter; install the bundled fonts so it renders correctly.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4A4A"/>
        <w:sz w:val="17"/>
      </w:rPr>
      <w:t>Pataraz  ·  pataraz.com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657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pataraz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65700"/>
                  </a:xfrm>
                  <a:prstGeom prst="rect"/>
                </pic:spPr>
              </pic:pic>
            </a:graphicData>
          </a:graphic>
        </wp:inline>
      </w:drawing>
    </w:r>
  </w:p>
  <w:p>
    <w:pPr>
      <w:pBdr>
        <w:bottom w:val="single" w:sz="18" w:space="6" w:color="1a24c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nter" w:hAnsi="Inter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