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ğustosLabel"/>
      </w:pPr>
      <w:r>
        <w:t>DOCUMENT TEMPLATE</w:t>
      </w:r>
    </w:p>
    <w:p>
      <w:pPr>
        <w:pStyle w:val="Title"/>
      </w:pPr>
      <w:r>
        <w:t>A clear opening for substantial work.</w:t>
      </w:r>
    </w:p>
    <w:p>
      <w:pPr>
        <w:pStyle w:val="Subtitle"/>
      </w:pPr>
      <w:r>
        <w:rPr>
          <w:rFonts w:ascii="Inter" w:hAnsi="Inter"/>
          <w:color w:val="404040"/>
        </w:rPr>
        <w:t>Subtitle, author, or date</w:t>
      </w:r>
    </w:p>
    <w:p>
      <w:r>
        <w:t>This file carries the same alignment, hierarchy, signal color, and spacing logic as the website without copying a web page into a document. It imports cleanly into Google Docs.</w:t>
      </w:r>
    </w:p>
    <w:p>
      <w:pPr>
        <w:pStyle w:val="Heading1"/>
      </w:pPr>
      <w:r>
        <w:t>Section opening</w:t>
      </w:r>
    </w:p>
    <w:p>
      <w:r>
        <w:t>Use Heading 1 to begin a major section. Body copy stays calm and readable; shared red is reserved for links, labels, rules, and decisive signals.</w:t>
      </w:r>
    </w:p>
    <w:p>
      <w:pPr>
        <w:pStyle w:val="Heading2"/>
      </w:pPr>
      <w:r>
        <w:t>A smaller hierarchy</w:t>
      </w:r>
    </w:p>
    <w:p>
      <w:r>
        <w:t>Use Heading 2 and Heading 3 to create structure without adding decoration.</w:t>
      </w:r>
    </w:p>
    <w:p>
      <w:pPr>
        <w:pStyle w:val="Heading3"/>
      </w:pPr>
      <w:r>
        <w:t>Structured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Role</w:t>
            </w:r>
          </w:p>
        </w:tc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System value</w:t>
            </w:r>
          </w:p>
        </w:tc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Use</w:t>
            </w:r>
          </w:p>
        </w:tc>
      </w:tr>
      <w:tr>
        <w:tc>
          <w:tcPr>
            <w:tcW w:type="dxa" w:w="3137"/>
          </w:tcPr>
          <w:p>
            <w:r>
              <w:t>Identity ink</w:t>
            </w:r>
          </w:p>
        </w:tc>
        <w:tc>
          <w:tcPr>
            <w:tcW w:type="dxa" w:w="3137"/>
          </w:tcPr>
          <w:p>
            <w:r>
              <w:t>#15130f</w:t>
            </w:r>
          </w:p>
        </w:tc>
        <w:tc>
          <w:tcPr>
            <w:tcW w:type="dxa" w:w="3137"/>
          </w:tcPr>
          <w:p>
            <w:r>
              <w:t>Logo and decisive brand fields</w:t>
            </w:r>
          </w:p>
        </w:tc>
      </w:tr>
      <w:tr>
        <w:tc>
          <w:tcPr>
            <w:tcW w:type="dxa" w:w="3137"/>
          </w:tcPr>
          <w:p>
            <w:r>
              <w:t>Shared signal</w:t>
            </w:r>
          </w:p>
        </w:tc>
        <w:tc>
          <w:tcPr>
            <w:tcW w:type="dxa" w:w="3137"/>
          </w:tcPr>
          <w:p>
            <w:r>
              <w:t>#cf142a</w:t>
            </w:r>
          </w:p>
        </w:tc>
        <w:tc>
          <w:tcPr>
            <w:tcW w:type="dxa" w:w="3137"/>
          </w:tcPr>
          <w:p>
            <w:r>
              <w:t>Links, focus, markers, and emphasis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Pataraz  ·  pataraz.com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365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taraz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3657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