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onsive-layout-specification"/>
    <w:p>
      <w:pPr>
        <w:pStyle w:val="Heading1"/>
      </w:pPr>
      <w:r>
        <w:t xml:space="preserve">Responsive Layout Specification</w:t>
      </w:r>
    </w:p>
    <w:bookmarkStart w:id="22" w:name="screen-formats"/>
    <w:p>
      <w:pPr>
        <w:pStyle w:val="Heading2"/>
      </w:pPr>
      <w:r>
        <w:t xml:space="preserve">1. Screen Formats</w:t>
      </w:r>
    </w:p>
    <w:bookmarkStart w:id="20" w:name="web-format"/>
    <w:p>
      <w:pPr>
        <w:pStyle w:val="Heading3"/>
      </w:pPr>
      <w:r>
        <w:t xml:space="preserve">Web Format</w:t>
      </w:r>
    </w:p>
    <w:p>
      <w:pPr>
        <w:pStyle w:val="FirstParagraph"/>
      </w:pPr>
      <w:r>
        <w:rPr>
          <w:b/>
          <w:bCs/>
        </w:rPr>
        <w:t xml:space="preserve">Web Format</w:t>
      </w:r>
      <w:r>
        <w:t xml:space="preserve"> </w:t>
      </w:r>
      <w:r>
        <w:t xml:space="preserve">applies to any screen where:</w:t>
      </w:r>
    </w:p>
    <w:p>
      <w:pPr>
        <w:pStyle w:val="SourceCode"/>
      </w:pPr>
      <w:r>
        <w:rPr>
          <w:rStyle w:val="VerbatimChar"/>
        </w:rPr>
        <w:t xml:space="preserve">width ≥ height</w:t>
      </w:r>
    </w:p>
    <w:p>
      <w:pPr>
        <w:pStyle w:val="FirstParagraph"/>
      </w:pPr>
      <w:r>
        <w:t xml:space="preserve">This includes all aspect ratios from ultra-wide (rectangular) displays to perfectly square displays (</w:t>
      </w:r>
      <w:r>
        <w:rPr>
          <w:rStyle w:val="VerbatimChar"/>
        </w:rPr>
        <w:t xml:space="preserve">1:1</w:t>
      </w:r>
      <w:r>
        <w:t xml:space="preserve">).</w:t>
      </w:r>
    </w:p>
    <w:p>
      <w:pPr>
        <w:pStyle w:val="BodyText"/>
      </w:pPr>
      <w:r>
        <w:t xml:space="preserve">The UI must scale proportionally across all resolutions, including 720p, 1080p, 4K, 8K, and everything in between. As long as two screens share the same aspect ratio, the layout and relative element sizes should appear identical.</w:t>
      </w:r>
    </w:p>
    <w:p>
      <w:r>
        <w:pict>
          <v:rect style="width:0;height:1.5pt" o:hralign="center" o:hrstd="t" o:hr="t"/>
        </w:pict>
      </w:r>
    </w:p>
    <w:bookmarkEnd w:id="20"/>
    <w:bookmarkStart w:id="21" w:name="mobile-format"/>
    <w:p>
      <w:pPr>
        <w:pStyle w:val="Heading3"/>
      </w:pPr>
      <w:r>
        <w:t xml:space="preserve">Mobile Format</w:t>
      </w:r>
    </w:p>
    <w:p>
      <w:pPr>
        <w:pStyle w:val="FirstParagraph"/>
      </w:pPr>
      <w:r>
        <w:rPr>
          <w:b/>
          <w:bCs/>
        </w:rPr>
        <w:t xml:space="preserve">Mobile Format</w:t>
      </w:r>
      <w:r>
        <w:t xml:space="preserve"> </w:t>
      </w:r>
      <w:r>
        <w:t xml:space="preserve">applies when:</w:t>
      </w:r>
    </w:p>
    <w:p>
      <w:pPr>
        <w:pStyle w:val="SourceCode"/>
      </w:pPr>
      <w:r>
        <w:rPr>
          <w:rStyle w:val="VerbatimChar"/>
        </w:rPr>
        <w:t xml:space="preserve">width &lt; height</w:t>
      </w:r>
    </w:p>
    <w:p>
      <w:pPr>
        <w:pStyle w:val="FirstParagraph"/>
      </w:pPr>
      <w:r>
        <w:t xml:space="preserve">Once the screen becomes taller than it is wide (portrait orientation), the application switches to Mobile Format. Layouts and element sizes may differ from the Web Format to provide a better experience on portrait screens.</w:t>
      </w:r>
    </w:p>
    <w:p>
      <w:r>
        <w:pict>
          <v:rect style="width:0;height:1.5pt" o:hralign="center" o:hrstd="t" o:hr="t"/>
        </w:pict>
      </w:r>
    </w:p>
    <w:bookmarkEnd w:id="21"/>
    <w:bookmarkEnd w:id="22"/>
    <w:bookmarkEnd w:id="23"/>
    <w:bookmarkStart w:id="24" w:name="sizing-methodology"/>
    <w:p>
      <w:pPr>
        <w:pStyle w:val="Heading1"/>
      </w:pPr>
      <w:r>
        <w:t xml:space="preserve">2. Sizing Methodology</w:t>
      </w:r>
    </w:p>
    <w:p>
      <w:pPr>
        <w:pStyle w:val="FirstParagraph"/>
      </w:pPr>
      <w:r>
        <w:t xml:space="preserve">No fixed pixel values should be used.</w:t>
      </w:r>
    </w:p>
    <w:p>
      <w:pPr>
        <w:pStyle w:val="BodyText"/>
      </w:pPr>
      <w:r>
        <w:t xml:space="preserve">All dimensions are defined as percentages and must be calculated dynamically based on:</w:t>
      </w:r>
    </w:p>
    <w:p>
      <w:pPr>
        <w:pStyle w:val="Compact"/>
        <w:numPr>
          <w:ilvl w:val="0"/>
          <w:numId w:val="1001"/>
        </w:numPr>
      </w:pPr>
      <w:r>
        <w:t xml:space="preserve">The viewport size, or</w:t>
      </w:r>
    </w:p>
    <w:p>
      <w:pPr>
        <w:pStyle w:val="Compact"/>
        <w:numPr>
          <w:ilvl w:val="0"/>
          <w:numId w:val="1001"/>
        </w:numPr>
      </w:pPr>
      <w:r>
        <w:t xml:space="preserve">The size of the parent container.</w:t>
      </w:r>
    </w:p>
    <w:p>
      <w:pPr>
        <w:pStyle w:val="FirstParagraph"/>
      </w:pPr>
      <w:r>
        <w:t xml:space="preserve">This ensures that every element scales correctly regardless of resolution or device size.</w:t>
      </w:r>
    </w:p>
    <w:p>
      <w:r>
        <w:pict>
          <v:rect style="width:0;height:1.5pt" o:hralign="center" o:hrstd="t" o:hr="t"/>
        </w:pict>
      </w:r>
    </w:p>
    <w:bookmarkEnd w:id="24"/>
    <w:bookmarkStart w:id="28" w:name="header-specifications"/>
    <w:p>
      <w:pPr>
        <w:pStyle w:val="Heading1"/>
      </w:pPr>
      <w:r>
        <w:t xml:space="preserve">3. Header Specifications</w:t>
      </w:r>
    </w:p>
    <w:bookmarkStart w:id="27" w:name="header-height"/>
    <w:p>
      <w:pPr>
        <w:pStyle w:val="Heading2"/>
      </w:pPr>
      <w:r>
        <w:t xml:space="preserve">Header Height</w:t>
      </w:r>
    </w:p>
    <w:bookmarkStart w:id="25" w:name="web-format-1"/>
    <w:p>
      <w:pPr>
        <w:pStyle w:val="Heading3"/>
      </w:pPr>
      <w:r>
        <w:t xml:space="preserve">Web Format</w:t>
      </w:r>
    </w:p>
    <w:p>
      <w:pPr>
        <w:pStyle w:val="Compact"/>
        <w:numPr>
          <w:ilvl w:val="0"/>
          <w:numId w:val="1002"/>
        </w:numPr>
      </w:pPr>
      <w:r>
        <w:t xml:space="preserve">Header height =</w:t>
      </w:r>
      <w:r>
        <w:t xml:space="preserve"> </w:t>
      </w:r>
      <w:r>
        <w:rPr>
          <w:b/>
          <w:bCs/>
        </w:rPr>
        <w:t xml:space="preserve">14.5% of viewport height</w:t>
      </w:r>
    </w:p>
    <w:bookmarkEnd w:id="25"/>
    <w:bookmarkStart w:id="26" w:name="mobile-format-1"/>
    <w:p>
      <w:pPr>
        <w:pStyle w:val="Heading3"/>
      </w:pPr>
      <w:r>
        <w:t xml:space="preserve">Mobile Format</w:t>
      </w:r>
    </w:p>
    <w:p>
      <w:pPr>
        <w:pStyle w:val="Compact"/>
        <w:numPr>
          <w:ilvl w:val="0"/>
          <w:numId w:val="1003"/>
        </w:numPr>
      </w:pPr>
      <w:r>
        <w:t xml:space="preserve">Header height =</w:t>
      </w:r>
      <w:r>
        <w:t xml:space="preserve"> </w:t>
      </w:r>
      <w:r>
        <w:rPr>
          <w:b/>
          <w:bCs/>
        </w:rPr>
        <w:t xml:space="preserve">12% of viewport height</w:t>
      </w:r>
    </w:p>
    <w:p>
      <w:r>
        <w:pict>
          <v:rect style="width:0;height:1.5pt" o:hralign="center" o:hrstd="t" o:hr="t"/>
        </w:pict>
      </w:r>
    </w:p>
    <w:bookmarkEnd w:id="26"/>
    <w:bookmarkEnd w:id="27"/>
    <w:bookmarkEnd w:id="28"/>
    <w:bookmarkStart w:id="33" w:name="header-elements"/>
    <w:p>
      <w:pPr>
        <w:pStyle w:val="Heading1"/>
      </w:pPr>
      <w:r>
        <w:t xml:space="preserve">4. Header Elements</w:t>
      </w:r>
    </w:p>
    <w:p>
      <w:pPr>
        <w:pStyle w:val="FirstParagraph"/>
      </w:pPr>
      <w:r>
        <w:t xml:space="preserve">The percentages below are</w:t>
      </w:r>
      <w:r>
        <w:t xml:space="preserve"> </w:t>
      </w:r>
      <w:r>
        <w:rPr>
          <w:b/>
          <w:bCs/>
        </w:rPr>
        <w:t xml:space="preserve">relative to the header height</w:t>
      </w:r>
      <w:r>
        <w:t xml:space="preserve">, not the viewport.</w:t>
      </w:r>
    </w:p>
    <w:p>
      <w:pPr>
        <w:pStyle w:val="BodyText"/>
      </w:pPr>
      <w:r>
        <w:t xml:space="preserve">Assume:</w:t>
      </w:r>
    </w:p>
    <w:p>
      <w:pPr>
        <w:pStyle w:val="SourceCode"/>
      </w:pPr>
      <w:r>
        <w:rPr>
          <w:rStyle w:val="VerbatimChar"/>
        </w:rPr>
        <w:t xml:space="preserve">Header Height = 100%</w:t>
      </w:r>
    </w:p>
    <w:p>
      <w:pPr>
        <w:pStyle w:val="FirstParagraph"/>
      </w:pPr>
      <w:r>
        <w:t xml:space="preserve">Then:</w:t>
      </w:r>
    </w:p>
    <w:bookmarkStart w:id="29" w:name="logo"/>
    <w:p>
      <w:pPr>
        <w:pStyle w:val="Heading2"/>
      </w:pPr>
      <w:r>
        <w:t xml:space="preserve">Logo</w:t>
      </w:r>
    </w:p>
    <w:p>
      <w:pPr>
        <w:pStyle w:val="Compact"/>
        <w:numPr>
          <w:ilvl w:val="0"/>
          <w:numId w:val="1004"/>
        </w:numPr>
      </w:pPr>
      <w:r>
        <w:t xml:space="preserve">Web:</w:t>
      </w:r>
      <w:r>
        <w:t xml:space="preserve"> </w:t>
      </w:r>
      <w:r>
        <w:rPr>
          <w:b/>
          <w:bCs/>
        </w:rPr>
        <w:t xml:space="preserve">33%</w:t>
      </w:r>
      <w:r>
        <w:t xml:space="preserve"> </w:t>
      </w:r>
      <w:r>
        <w:t xml:space="preserve">of header height</w:t>
      </w:r>
    </w:p>
    <w:p>
      <w:pPr>
        <w:pStyle w:val="Compact"/>
        <w:numPr>
          <w:ilvl w:val="0"/>
          <w:numId w:val="1004"/>
        </w:numPr>
      </w:pPr>
      <w:r>
        <w:t xml:space="preserve">Mobile:</w:t>
      </w:r>
      <w:r>
        <w:t xml:space="preserve"> </w:t>
      </w:r>
      <w:r>
        <w:rPr>
          <w:b/>
          <w:bCs/>
        </w:rPr>
        <w:t xml:space="preserve">26.5%</w:t>
      </w:r>
      <w:r>
        <w:t xml:space="preserve"> </w:t>
      </w:r>
      <w:r>
        <w:t xml:space="preserve">of header height</w:t>
      </w:r>
    </w:p>
    <w:bookmarkEnd w:id="29"/>
    <w:bookmarkStart w:id="30" w:name="header-mode-icons"/>
    <w:p>
      <w:pPr>
        <w:pStyle w:val="Heading2"/>
      </w:pPr>
      <w:r>
        <w:t xml:space="preserve">Header Mode Icons</w:t>
      </w:r>
    </w:p>
    <w:p>
      <w:pPr>
        <w:pStyle w:val="Compact"/>
        <w:numPr>
          <w:ilvl w:val="0"/>
          <w:numId w:val="1005"/>
        </w:numPr>
      </w:pPr>
      <w:r>
        <w:t xml:space="preserve">Web:</w:t>
      </w:r>
      <w:r>
        <w:t xml:space="preserve"> </w:t>
      </w:r>
      <w:r>
        <w:rPr>
          <w:b/>
          <w:bCs/>
        </w:rPr>
        <w:t xml:space="preserve">28%</w:t>
      </w:r>
      <w:r>
        <w:t xml:space="preserve"> </w:t>
      </w:r>
      <w:r>
        <w:t xml:space="preserve">of header height</w:t>
      </w:r>
    </w:p>
    <w:bookmarkEnd w:id="30"/>
    <w:bookmarkStart w:id="31" w:name="header-pills"/>
    <w:p>
      <w:pPr>
        <w:pStyle w:val="Heading2"/>
      </w:pPr>
      <w:r>
        <w:t xml:space="preserve">Header Pills</w:t>
      </w:r>
    </w:p>
    <w:p>
      <w:pPr>
        <w:pStyle w:val="Compact"/>
        <w:numPr>
          <w:ilvl w:val="0"/>
          <w:numId w:val="1006"/>
        </w:numPr>
      </w:pPr>
      <w:r>
        <w:t xml:space="preserve">Web:</w:t>
      </w:r>
      <w:r>
        <w:t xml:space="preserve"> </w:t>
      </w:r>
      <w:r>
        <w:rPr>
          <w:b/>
          <w:bCs/>
        </w:rPr>
        <w:t xml:space="preserve">32%</w:t>
      </w:r>
      <w:r>
        <w:t xml:space="preserve"> </w:t>
      </w:r>
      <w:r>
        <w:t xml:space="preserve">of header height</w:t>
      </w:r>
    </w:p>
    <w:bookmarkEnd w:id="31"/>
    <w:bookmarkStart w:id="32" w:name="header-icons"/>
    <w:p>
      <w:pPr>
        <w:pStyle w:val="Heading2"/>
      </w:pPr>
      <w:r>
        <w:t xml:space="preserve">Header Icons</w:t>
      </w:r>
    </w:p>
    <w:p>
      <w:pPr>
        <w:pStyle w:val="Compact"/>
        <w:numPr>
          <w:ilvl w:val="0"/>
          <w:numId w:val="1007"/>
        </w:numPr>
      </w:pPr>
      <w:r>
        <w:t xml:space="preserve">Mobile:</w:t>
      </w:r>
      <w:r>
        <w:t xml:space="preserve"> </w:t>
      </w:r>
      <w:r>
        <w:rPr>
          <w:b/>
          <w:bCs/>
        </w:rPr>
        <w:t xml:space="preserve">26%</w:t>
      </w:r>
      <w:r>
        <w:t xml:space="preserve"> </w:t>
      </w:r>
      <w:r>
        <w:t xml:space="preserve">of header height</w:t>
      </w:r>
    </w:p>
    <w:p>
      <w:r>
        <w:pict>
          <v:rect style="width:0;height:1.5pt" o:hralign="center" o:hrstd="t" o:hr="t"/>
        </w:pict>
      </w:r>
    </w:p>
    <w:bookmarkEnd w:id="32"/>
    <w:bookmarkEnd w:id="33"/>
    <w:bookmarkStart w:id="34" w:name="sizing-hierarchy"/>
    <w:p>
      <w:pPr>
        <w:pStyle w:val="Heading1"/>
      </w:pPr>
      <w:r>
        <w:t xml:space="preserve">Sizing Hierarchy</w:t>
      </w:r>
    </w:p>
    <w:p>
      <w:pPr>
        <w:pStyle w:val="SourceCode"/>
      </w:pPr>
      <w:r>
        <w:rPr>
          <w:rStyle w:val="VerbatimChar"/>
        </w:rPr>
        <w:t xml:space="preserve">Viewport</w:t>
      </w:r>
      <w:r>
        <w:br/>
      </w:r>
      <w:r>
        <w:rPr>
          <w:rStyle w:val="VerbatimChar"/>
        </w:rPr>
        <w:t xml:space="preserve">└── Header</w:t>
      </w:r>
      <w:r>
        <w:br/>
      </w:r>
      <w:r>
        <w:rPr>
          <w:rStyle w:val="VerbatimChar"/>
        </w:rPr>
        <w:t xml:space="preserve">    ├── Logo</w:t>
      </w:r>
      <w:r>
        <w:br/>
      </w:r>
      <w:r>
        <w:rPr>
          <w:rStyle w:val="VerbatimChar"/>
        </w:rPr>
        <w:t xml:space="preserve">    ├── Mode Icons</w:t>
      </w:r>
      <w:r>
        <w:br/>
      </w:r>
      <w:r>
        <w:rPr>
          <w:rStyle w:val="VerbatimChar"/>
        </w:rPr>
        <w:t xml:space="preserve">    ├── Pills</w:t>
      </w:r>
      <w:r>
        <w:br/>
      </w:r>
      <w:r>
        <w:rPr>
          <w:rStyle w:val="VerbatimChar"/>
        </w:rPr>
        <w:t xml:space="preserve">    └── Icons</w:t>
      </w:r>
    </w:p>
    <w:p>
      <w:pPr>
        <w:pStyle w:val="FirstParagraph"/>
      </w:pPr>
      <w:r>
        <w:t xml:space="preserve">Every child element should calculate its size relative to its immediate parent, allowing the entire interface to remain perfectly responsive and aspect-ratio independent.</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2026-07-04T12:30:55Z</dcterms:created>
  <dcterms:modified xsi:type="dcterms:W3CDTF">2026-07-04T12:30:55Z</dcterms:modified>
</cp:coreProperties>
</file>

<file path=docProps/custom.xml><?xml version="1.0" encoding="utf-8"?>
<Properties xmlns="http://schemas.openxmlformats.org/officeDocument/2006/custom-properties" xmlns:vt="http://schemas.openxmlformats.org/officeDocument/2006/docPropsVTypes"/>
</file>