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after="0" w:line="240" w:lineRule="auto"/>
        <w:ind w:firstLine="708"/>
        <w:jc w:val="center"/>
        <w:rPr>
          <w:rFonts w:ascii="Times New Roman" w:hAnsi="Times New Roman" w:cs="Times New Roman"/>
          <w:caps/>
          <w:spacing w:val="-20"/>
          <w:sz w:val="24"/>
          <w:szCs w:val="24"/>
        </w:rPr>
      </w:pPr>
      <w:r>
        <w:rPr>
          <w:rFonts w:ascii="Times New Roman" w:hAnsi="Times New Roman" w:cs="Times New Roman"/>
          <w:caps/>
          <w:spacing w:val="-20"/>
          <w:sz w:val="24"/>
          <w:szCs w:val="24"/>
        </w:rPr>
        <w:t xml:space="preserve">Министерство науки и высшего образования Российской Федерации</w:t>
      </w:r>
      <w:r>
        <w:rPr>
          <w:rFonts w:ascii="Times New Roman" w:hAnsi="Times New Roman" w:cs="Times New Roman"/>
          <w:caps/>
          <w:spacing w:val="-20"/>
          <w:sz w:val="24"/>
          <w:szCs w:val="24"/>
        </w:rPr>
      </w:r>
      <w:r>
        <w:rPr>
          <w:rFonts w:ascii="Times New Roman" w:hAnsi="Times New Roman" w:cs="Times New Roman"/>
          <w:caps/>
          <w:spacing w:val="-20"/>
          <w:sz w:val="24"/>
          <w:szCs w:val="24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высшего образования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«КУБАНСКИЙ ГОСУДАРСТВЕННЫЙ УНИВЕРСИТЕТ»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(ФГБОУ ВО «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КубГУ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»)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</w:r>
      <w:r>
        <w:rPr>
          <w:rFonts w:ascii="Times New Roman" w:hAnsi="Times New Roman" w:cs="Times New Roman"/>
          <w:b/>
          <w:bCs/>
          <w:sz w:val="32"/>
          <w:szCs w:val="32"/>
        </w:rPr>
      </w:r>
      <w:r>
        <w:rPr>
          <w:rFonts w:ascii="Times New Roman" w:hAnsi="Times New Roman" w:cs="Times New Roman"/>
          <w:b/>
          <w:bCs/>
          <w:sz w:val="32"/>
          <w:szCs w:val="32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Факультет компьютерных технологий и прикладной математики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Кафедра вычислительных технологий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</w:p>
    <w:p>
      <w:pPr>
        <w:pBdr/>
        <w:spacing w:after="0" w:line="240" w:lineRule="auto"/>
        <w:ind/>
        <w:jc w:val="left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Отчёт </w:t>
      </w:r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лабораторная</w:t>
      </w:r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 №</w:t>
      </w:r>
      <w:r>
        <w:rPr>
          <w:rFonts w:ascii="Times New Roman" w:hAnsi="Times New Roman" w:cs="Times New Roman"/>
          <w:b/>
          <w:bCs/>
          <w:caps/>
          <w:sz w:val="28"/>
          <w:szCs w:val="28"/>
          <w:lang w:val="ru-RU"/>
        </w:rPr>
        <w:t xml:space="preserve">5</w:t>
      </w:r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.1</w:t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Дисциплина: Обработка больших данных</w:t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</w:p>
    <w:p>
      <w:pPr>
        <w:pBdr/>
        <w:shd w:val="clear" w:color="auto" w:fill="ffffff"/>
        <w:spacing w:after="0" w:line="240" w:lineRule="auto"/>
        <w:ind/>
        <w:jc w:val="center"/>
        <w:rPr>
          <w:rFonts w:ascii="Times New Roman" w:hAnsi="Times New Roman" w:eastAsia="Times New Roman" w:cs="Times New Roman"/>
          <w:b/>
          <w:bCs/>
          <w:color w:val="262633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262633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b/>
          <w:bCs/>
          <w:color w:val="262633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b/>
          <w:bCs/>
          <w:color w:val="262633"/>
          <w:sz w:val="28"/>
          <w:szCs w:val="28"/>
          <w:lang w:eastAsia="ru-RU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240" w:lineRule="auto"/>
        <w:ind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Работу выполнил ___________________________</w:t>
      </w:r>
      <w:r>
        <w:rPr>
          <w:rFonts w:ascii="Times New Roman" w:hAnsi="Times New Roman" w:eastAsia="Calibri" w:cs="Times New Roman"/>
          <w:sz w:val="28"/>
          <w:szCs w:val="28"/>
        </w:rPr>
        <w:t xml:space="preserve">_________</w:t>
      </w:r>
      <w:r>
        <w:rPr>
          <w:rFonts w:ascii="Times New Roman" w:hAnsi="Times New Roman" w:eastAsia="Calibri" w:cs="Times New Roman"/>
          <w:sz w:val="28"/>
          <w:szCs w:val="28"/>
          <w:lang w:val="ru-RU"/>
        </w:rPr>
        <w:t xml:space="preserve"> Логвина А.В.</w:t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  <w:u w:val="single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Направление подготовки</w:t>
      </w:r>
      <w:r>
        <w:rPr>
          <w:rFonts w:ascii="Times New Roman" w:hAnsi="Times New Roman" w:eastAsia="Calibri" w:cs="Times New Roman"/>
          <w:sz w:val="28"/>
          <w:szCs w:val="28"/>
        </w:rPr>
        <w:tab/>
      </w:r>
      <w:r>
        <w:rPr>
          <w:rFonts w:ascii="Times New Roman" w:hAnsi="Times New Roman" w:eastAsia="Calibri" w:cs="Times New Roman"/>
          <w:sz w:val="28"/>
          <w:szCs w:val="28"/>
          <w:u w:val="single"/>
        </w:rPr>
        <w:t xml:space="preserve">02.03.02 Фундаментальная информатика и</w:t>
      </w:r>
      <w:r>
        <w:rPr>
          <w:rFonts w:ascii="Times New Roman" w:hAnsi="Times New Roman" w:eastAsia="Calibri" w:cs="Times New Roman"/>
          <w:sz w:val="28"/>
          <w:szCs w:val="28"/>
          <w:u w:val="single"/>
        </w:rPr>
      </w:r>
      <w:r>
        <w:rPr>
          <w:rFonts w:ascii="Times New Roman" w:hAnsi="Times New Roman" w:eastAsia="Calibri" w:cs="Times New Roman"/>
          <w:sz w:val="28"/>
          <w:szCs w:val="28"/>
          <w:u w:val="single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  <w:u w:val="single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                                                                  </w:t>
      </w:r>
      <w:r>
        <w:rPr>
          <w:rFonts w:ascii="Times New Roman" w:hAnsi="Times New Roman" w:eastAsia="Calibri" w:cs="Times New Roman"/>
          <w:sz w:val="28"/>
          <w:szCs w:val="28"/>
          <w:u w:val="single"/>
        </w:rPr>
        <w:t xml:space="preserve">информационные технологии</w:t>
      </w:r>
      <w:r>
        <w:rPr>
          <w:rFonts w:ascii="Times New Roman" w:hAnsi="Times New Roman" w:eastAsia="Calibri" w:cs="Times New Roman"/>
          <w:sz w:val="28"/>
          <w:szCs w:val="28"/>
          <w:u w:val="single"/>
        </w:rPr>
      </w:r>
      <w:r>
        <w:rPr>
          <w:rFonts w:ascii="Times New Roman" w:hAnsi="Times New Roman" w:eastAsia="Calibri" w:cs="Times New Roman"/>
          <w:sz w:val="28"/>
          <w:szCs w:val="28"/>
          <w:u w:val="single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  <w:u w:val="single"/>
        </w:rPr>
      </w:pPr>
      <w:r>
        <w:rPr>
          <w:rFonts w:ascii="Times New Roman" w:hAnsi="Times New Roman" w:eastAsia="Calibri" w:cs="Times New Roman"/>
          <w:sz w:val="28"/>
          <w:szCs w:val="28"/>
          <w:u w:val="single"/>
        </w:rPr>
      </w:r>
      <w:r>
        <w:rPr>
          <w:rFonts w:ascii="Times New Roman" w:hAnsi="Times New Roman" w:eastAsia="Calibri" w:cs="Times New Roman"/>
          <w:sz w:val="28"/>
          <w:szCs w:val="28"/>
          <w:u w:val="single"/>
        </w:rPr>
      </w:r>
      <w:r>
        <w:rPr>
          <w:rFonts w:ascii="Times New Roman" w:hAnsi="Times New Roman" w:eastAsia="Calibri" w:cs="Times New Roman"/>
          <w:sz w:val="28"/>
          <w:szCs w:val="28"/>
          <w:u w:val="single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Преподаватель _______________________________________Яхонтов А.А.</w:t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Краснодар</w:t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eastAsia="Calibri" w:cs="Times New Roman"/>
          <w:sz w:val="28"/>
          <w:szCs w:val="28"/>
          <w:highlight w:val="none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2025</w:t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</w:p>
    <w:p>
      <w:pPr>
        <w:pBdr/>
        <w:spacing/>
        <w:ind/>
        <w:jc w:val="center"/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</w:rPr>
        <w:t xml:space="preserve">Задачи классификации и кластеризации</w:t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</w:r>
    </w:p>
    <w:p>
      <w:pPr>
        <w:pBdr/>
        <w:spacing/>
        <w:ind/>
        <w:jc w:val="left"/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  <w:t xml:space="preserve">Цель работы: 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Закрепить знания, об алгоритмах классификации и кластеризации данных,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ознакомиться с некоторыми функциями языка R, осуществляющими этот вид анализа,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принципами их работы. Научиться визуализировать результаты работы функций кластерного 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анализа и классификаторов, интерпретировать полученные результаты.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/>
        <w:ind/>
        <w:jc w:val="left"/>
        <w:rPr>
          <w:rFonts w:ascii="Times New Roman" w:hAnsi="Times New Roman" w:eastAsia="Calibri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  <w:t xml:space="preserve">Задание: </w:t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</w:rPr>
      </w:r>
    </w:p>
    <w:p>
      <w:pPr>
        <w:pBdr/>
        <w:spacing/>
        <w:ind/>
        <w:jc w:val="left"/>
        <w:rPr/>
      </w:pP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1. В начале отчета необходимо разместить формулировку задания и фрагмент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исходного датасета.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2. Выполнить дескриптивный анализ данных (здесь приветствуются дополнительные 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исследования).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3. Оценить оптимальное число кластеров, для этого построить диаграмму "Метод 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силуэта", “Метод локтя”, "Статистику разрыва" и Алгоритм консенсуса.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4. Выполнить иерархическую кластеризацию вашего набора данных, построив 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дендрограмму. Подробно обосновать Ваш выбор числа групп.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5. Построить диаграмму со столбчатыми диаграммами и боксплотами групп 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Провести сравнительный анализ полученных групп.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6. Выполнить кластеризацию своего датасета по k-means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7. Выполнить построение scatterplot с помощью функций plot или pairs.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8. Построить трехмерную кластеризацию по scatterplot3d </w:t>
      </w:r>
      <w:r/>
    </w:p>
    <w:p>
      <w:pPr>
        <w:pBdr/>
        <w:spacing/>
        <w:ind/>
        <w:jc w:val="left"/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9. В целом: выполнить шаги 1-3,5 анализа для своего набора данных (если какие-то из 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шагов нерелевантны вашему набору данных, объяснить почему).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/>
        <w:ind/>
        <w:jc w:val="left"/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/>
        <w:ind/>
        <w:jc w:val="center"/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  <w:t xml:space="preserve">Ход работы:</w:t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</w:r>
    </w:p>
    <w:p>
      <w:pPr>
        <w:pStyle w:val="893"/>
        <w:numPr>
          <w:ilvl w:val="0"/>
          <w:numId w:val="3"/>
        </w:numPr>
        <w:pBdr/>
        <w:spacing/>
        <w:ind/>
        <w:jc w:val="left"/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Скачаем датасет.</w:t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</w:r>
    </w:p>
    <w:p>
      <w:pPr>
        <w:pBdr/>
        <w:spacing/>
        <w:ind w:firstLine="0" w:left="709"/>
        <w:jc w:val="center"/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026328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24683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3599" cy="30263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8.00pt;height:238.29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/>
        <w:ind w:firstLine="0" w:left="0"/>
        <w:jc w:val="left"/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en-US"/>
        </w:rPr>
        <w:t xml:space="preserve">2. 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Выполнить дескриптивный анализ.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/>
        <w:ind w:firstLine="0" w:left="0"/>
        <w:jc w:val="left"/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Для этого находим: среднее значение, медиану, моду,дисперсию, стандартное отклонение, минимум, максимум.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/>
        <w:ind w:firstLine="0" w:left="0"/>
        <w:jc w:val="center"/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26197" cy="81055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26096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5226197" cy="8105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11.51pt;height:63.82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/>
        <w:ind w:firstLine="0" w:left="0"/>
        <w:jc w:val="left"/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</w:r>
    </w:p>
    <w:p>
      <w:pPr>
        <w:pBdr/>
        <w:spacing/>
        <w:ind w:firstLine="0" w:left="0"/>
        <w:jc w:val="left"/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Гистограммы: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/>
        <w:ind w:firstLine="0" w:left="0"/>
        <w:jc w:val="center"/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85779" cy="1170318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9714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2185779" cy="1170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172.11pt;height:92.1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lang w:val="ru-RU"/>
        </w:rP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13889" cy="1218581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42861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2213889" cy="1218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174.32pt;height:95.95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78859" cy="119929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47390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2178859" cy="1199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171.56pt;height:94.43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  <w:t xml:space="preserve">  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36043" cy="1291669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53287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2436042" cy="12916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191.81pt;height:101.71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</w:r>
    </w:p>
    <w:p>
      <w:pPr>
        <w:pBdr/>
        <w:spacing/>
        <w:ind w:firstLine="0" w:left="0"/>
        <w:jc w:val="center"/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91854" cy="1283571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64943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2391853" cy="12835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188.33pt;height:101.07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47104" cy="1527878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91734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2847103" cy="15278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224.18pt;height:120.31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</w:r>
    </w:p>
    <w:p>
      <w:pPr>
        <w:pBdr/>
        <w:spacing/>
        <w:ind w:firstLine="0" w:left="0"/>
        <w:jc w:val="center"/>
        <w:rPr>
          <w:highlight w:val="none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89089" cy="1335752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32193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2489088" cy="13357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195.99pt;height:105.18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lang w:val="ru-RU"/>
        </w:rPr>
        <w:t xml:space="preserve">  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98236" cy="139432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75613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2598236" cy="1394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204.59pt;height:109.79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28031" cy="1328238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06640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2528030" cy="13282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199.06pt;height:104.59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  <w:t xml:space="preserve"> </w:t>
      </w:r>
      <w:r>
        <w:rPr>
          <w:lang w:val="ru-RU"/>
        </w:rPr>
        <w:t xml:space="preserve">    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81405" cy="1337164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57151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rot="10799989" flipH="1" flipV="1">
                          <a:off x="0" y="0"/>
                          <a:ext cx="2181404" cy="13371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171.76pt;height:105.29pt;mso-wrap-distance-left:0.00pt;mso-wrap-distance-top:0.00pt;mso-wrap-distance-right:0.00pt;mso-wrap-distance-bottom:0.00pt;rotation:179;flip:xy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 w:firstLine="0" w:left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80999" cy="1303527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40855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2480999" cy="1303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195.35pt;height:102.64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  <w:t xml:space="preserve">    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90627" cy="1411168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10023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2690627" cy="14111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211.86pt;height:111.12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 w:firstLine="0" w:left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67946" cy="1294377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46543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2467946" cy="12943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194.33pt;height:101.92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 w:firstLine="0" w:lef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</w:rPr>
        <w:t xml:space="preserve">Боксплоты</w:t>
      </w:r>
      <w:r>
        <w:rPr>
          <w:highlight w:val="none"/>
          <w:lang w:val="ru-RU"/>
        </w:rPr>
        <w:t xml:space="preserve">: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 w:firstLine="0" w:lef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t xml:space="preserve">Боксплоты нельзя строить для нечисловых данных, потому что они  требуют вычисления статистик (медианы, квартилей, межквартильного  размаха), которые математически неопределимы для текста</w:t>
      </w:r>
      <w:r>
        <w:rPr>
          <w:lang w:val="ru-RU"/>
        </w:rPr>
        <w:t xml:space="preserve">,</w:t>
      </w:r>
      <w:r>
        <w:t xml:space="preserve"> </w:t>
      </w:r>
      <w:r>
        <w:rPr>
          <w:lang w:val="ru-RU"/>
        </w:rPr>
        <w:t xml:space="preserve">так как</w:t>
      </w:r>
      <w:r>
        <w:t xml:space="preserve"> не имеют числового порядка, а значит, невозможно определить их  распределение, разброс или выбросы — ключевые элементы, которые  визуализирует боксплот. Попытка применить этот метод к нечисловым данным  приведёт к ошибке в программе или б</w:t>
      </w:r>
      <w:r>
        <w:t xml:space="preserve">ессмысленному графику, так как  алгоритм не сможет ранжировать и обрабатывать качественные признаки как  количественные.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 w:firstLine="0" w:left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32755" cy="1232603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26439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2332755" cy="12326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183.68pt;height:97.06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lang w:val="ru-RU"/>
        </w:rPr>
        <w:t xml:space="preserve">          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069627" cy="1093569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83985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2069627" cy="10935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162.96pt;height:86.11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 w:firstLine="0" w:left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09767" cy="1167618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42426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2209767" cy="11676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174.00pt;height:91.94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lang w:val="ru-RU"/>
        </w:rPr>
        <w:t xml:space="preserve">             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07556" cy="1113610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9876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2107555" cy="11136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165.95pt;height:87.69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 w:firstLine="0" w:left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34625" cy="1339269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14319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2534625" cy="13392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199.58pt;height:105.45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 w:firstLine="0" w:left="0"/>
        <w:jc w:val="left"/>
        <w:rPr>
          <w:highlight w:val="none"/>
          <w:lang w:val="ru-RU"/>
        </w:rPr>
      </w:pPr>
      <w:r>
        <w:rPr>
          <w:b/>
          <w:bCs/>
          <w:highlight w:val="none"/>
          <w:lang w:val="ru-RU"/>
        </w:rPr>
        <w:t xml:space="preserve">3.</w:t>
      </w:r>
      <w:r>
        <w:rPr>
          <w:highlight w:val="none"/>
          <w:lang w:val="ru-RU"/>
        </w:rPr>
        <w:t xml:space="preserve">  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 Оценить оптимальное число кластеров, для этого построить диаграмму "Метод 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силуэта", “Метод локтя”, "Статистику разрыва" и Алгоритм консенсуса.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 w:firstLine="0" w:left="0"/>
        <w:jc w:val="center"/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  <w:t xml:space="preserve">Метод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локтя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  <w:t xml:space="preserve">: 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r>
    </w:p>
    <w:p>
      <w:pPr>
        <w:pBdr/>
        <w:spacing/>
        <w:ind w:firstLine="0" w:left="0"/>
        <w:jc w:val="center"/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707658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5001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3599" cy="37076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68.00pt;height:291.94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r>
    </w:p>
    <w:p>
      <w:pPr>
        <w:pBdr/>
        <w:spacing/>
        <w:ind w:firstLine="0" w:left="0"/>
        <w:jc w:val="center"/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  <w:t xml:space="preserve">Метод </w:t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  <w:t xml:space="preserve">силуэта: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r>
    </w:p>
    <w:p>
      <w:pPr>
        <w:pBdr/>
        <w:spacing/>
        <w:ind w:firstLine="0" w:left="0"/>
        <w:jc w:val="center"/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99750" cy="3617924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87816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5799749" cy="36179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56.67pt;height:284.88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r>
    </w:p>
    <w:p>
      <w:pPr>
        <w:pBdr/>
        <w:spacing/>
        <w:ind w:firstLine="0" w:left="0"/>
        <w:jc w:val="center"/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  <w:t xml:space="preserve">Статистику разрыва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  <w:t xml:space="preserve">: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r>
    </w:p>
    <w:p>
      <w:pPr>
        <w:pBdr/>
        <w:spacing/>
        <w:ind w:firstLine="0" w:left="0"/>
        <w:jc w:val="center"/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707658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92892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3599" cy="37076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68.00pt;height:291.94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r>
    </w:p>
    <w:p>
      <w:pPr>
        <w:pBdr/>
        <w:spacing/>
        <w:ind w:firstLine="0" w:left="0"/>
        <w:jc w:val="center"/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  <w:t xml:space="preserve">Алгоритм консенсуса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  <w:t xml:space="preserve">: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r>
    </w:p>
    <w:p>
      <w:pPr>
        <w:pBdr/>
        <w:spacing/>
        <w:ind w:firstLine="0" w:left="0"/>
        <w:jc w:val="center"/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707658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30993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3599" cy="37076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468.00pt;height:291.94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cs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Для всех графиков 3 кластера являются наиболее  обоснованными, так как они согласуются с большинством методов (NbClust,  WSS, дендрограмма), несмотря на незначительные расхождения в статистике  разрыва и силуэтном коэффициенте.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color w:val="000000"/>
          <w:sz w:val="28"/>
          <w:szCs w:val="28"/>
          <w:highlight w:val="none"/>
        </w:rPr>
      </w:r>
    </w:p>
    <w:p>
      <w:pPr>
        <w:pBdr/>
        <w:spacing/>
        <w:ind/>
        <w:jc w:val="left"/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  <w:t xml:space="preserve">4. 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Выполнить иерархическую кластеризацию вашего набора данных, построив 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дендрограмму. Подробно обосновать Ваш выбор числа групп.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/>
        <w:ind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При выполнении иерархической кластеризации дендрограмма визуализирует  последовательное объединение объектов, где длина вертикальных линий  отражает расстояние между кластерами. Оптимальное число групп  определяется по уровню, на котором наблюдается максим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альный «разрыв» —  резкое увеличение расстояния между объединяемыми кластерами, что  указывает на естественное разделение данных. В данном случае такой  разрыв четко прослеживается при выделении 3 кластеров,  что согласуется с методом локтя и алгоритмом Nb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Clust. Этот выбор  обеспечивает баланс между интерпретируемостью, компактностью групп и  отсутствием избыточного дробления данных.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0" w:left="0"/>
        <w:jc w:val="left"/>
        <w:rPr>
          <w:b/>
          <w:bCs/>
          <w:color w:val="000000" w:themeColor="text1"/>
          <w:highlight w:val="none"/>
          <w:lang w:val="ru-RU"/>
        </w:rPr>
      </w:pPr>
      <w:r>
        <w:rPr>
          <w:b/>
          <w:bCs/>
          <w:color w:val="000000" w:themeColor="text1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566819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84098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3599" cy="35668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68.00pt;height:280.85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w:rPr>
          <w:b/>
          <w:bCs/>
          <w:color w:val="000000" w:themeColor="text1"/>
          <w:highlight w:val="none"/>
          <w:lang w:val="ru-RU"/>
        </w:rPr>
      </w:r>
      <w:r>
        <w:rPr>
          <w:b/>
          <w:bCs/>
          <w:color w:val="000000" w:themeColor="text1"/>
          <w:highlight w:val="none"/>
          <w:lang w:val="ru-RU"/>
        </w:rPr>
      </w:r>
    </w:p>
    <w:p>
      <w:pPr>
        <w:pBdr/>
        <w:spacing/>
        <w:ind w:firstLine="0" w:left="0"/>
        <w:jc w:val="left"/>
        <w:rPr>
          <w:b/>
          <w:bCs/>
          <w:color w:val="000000" w:themeColor="text1"/>
          <w:highlight w:val="none"/>
          <w:lang w:val="ru-RU"/>
        </w:rPr>
      </w:pPr>
      <w:r>
        <w:rPr>
          <w:b/>
          <w:bCs/>
          <w:color w:val="000000" w:themeColor="text1"/>
          <w:highlight w:val="none"/>
          <w:lang w:val="ru-RU"/>
        </w:rPr>
      </w:r>
      <w:r>
        <w:t xml:space="preserve">Структура кластеров: На графике видно, что объекты  последовательно объединяются в три четкие группы. Первый кластер  включает точки 0, 1 и 2, что указывает на их высокую схожесть по  измеренным признакам. Второй кластер формируется из точек 3 и 4,  демонс</w:t>
      </w:r>
      <w:r>
        <w:t xml:space="preserve">трируя умеренное расстояние объединения, что говорит о меньшей  внутренней однородности. Третий кластер (точки 5, 6, 7) объединяется на  более высоком уровне, подчеркивая их относительную изолированность от  остальных данных. Такое разделение отражает есте</w:t>
      </w:r>
      <w:r>
        <w:t xml:space="preserve">ственную группировку  объектов без явных перекрытий.</w:t>
      </w:r>
      <w:r>
        <w:rPr>
          <w:b/>
          <w:bCs/>
          <w:color w:val="000000" w:themeColor="text1"/>
          <w:highlight w:val="none"/>
          <w:lang w:val="ru-RU"/>
        </w:rPr>
      </w:r>
      <w:r>
        <w:rPr>
          <w:b/>
          <w:bCs/>
          <w:color w:val="000000" w:themeColor="text1"/>
          <w:highlight w:val="none"/>
          <w:lang w:val="ru-RU"/>
        </w:rPr>
      </w:r>
    </w:p>
    <w:p>
      <w:pPr>
        <w:pBdr/>
        <w:spacing/>
        <w:ind w:firstLine="0" w:left="0"/>
        <w:jc w:val="left"/>
        <w:rPr>
          <w:b/>
          <w:bCs/>
          <w:color w:val="000000" w:themeColor="text1"/>
          <w:highlight w:val="none"/>
          <w:lang w:val="ru-RU"/>
        </w:rPr>
      </w:pPr>
      <w:r>
        <w:rPr>
          <w:b/>
          <w:bCs/>
          <w:color w:val="000000" w:themeColor="text1"/>
          <w:highlight w:val="none"/>
          <w:lang w:val="ru-RU"/>
        </w:rPr>
      </w:r>
      <w:r>
        <w:t xml:space="preserve">Расстояния и разрывы: Вертикальные линии дендрограммы  показывают, что наибольший разрыв между кластерами наблюдается при  переходе от двух к трём группам. Это подтверждает, что разделение на три  кластера оптимально, так как дальнейшее увеличение их числа</w:t>
      </w:r>
      <w:r>
        <w:t xml:space="preserve"> приводит к  незначительному уменьшению расстояний между объектами. Высота линий для  объединения третьего кластера (5, 6, 7) значительно превышает другие,  что свидетельствует о его уникальности. Таким образом, три кластера  сохраняют баланс между компакт</w:t>
      </w:r>
      <w:r>
        <w:t xml:space="preserve">ностью и различимостью.</w:t>
      </w:r>
      <w:r>
        <w:rPr>
          <w:b/>
          <w:bCs/>
          <w:color w:val="000000" w:themeColor="text1"/>
          <w:highlight w:val="none"/>
          <w:lang w:val="ru-RU"/>
        </w:rPr>
      </w:r>
      <w:r>
        <w:rPr>
          <w:b/>
          <w:bCs/>
          <w:color w:val="000000" w:themeColor="text1"/>
          <w:highlight w:val="none"/>
          <w:lang w:val="ru-RU"/>
        </w:rPr>
      </w:r>
    </w:p>
    <w:p>
      <w:pPr>
        <w:pBdr/>
        <w:spacing/>
        <w:ind w:firstLine="0" w:left="0"/>
        <w:jc w:val="left"/>
        <w:rPr>
          <w:rFonts w:ascii="Times New Roman" w:hAnsi="Times New Roman" w:eastAsia="Calibri" w:cs="Times New Roman"/>
          <w:b/>
          <w:bCs/>
          <w:color w:val="000000" w:themeColor="text1"/>
          <w:sz w:val="28"/>
          <w:szCs w:val="28"/>
          <w:highlight w:val="none"/>
          <w:lang w:val="ru-RU"/>
        </w:rPr>
      </w:pPr>
      <w:r>
        <w:rPr>
          <w:b/>
          <w:bCs/>
          <w:color w:val="000000" w:themeColor="text1"/>
          <w:highlight w:val="none"/>
          <w:lang w:val="ru-RU"/>
        </w:rPr>
      </w:r>
      <w:r>
        <w:t xml:space="preserve">Согласованность с методами: Выделение трёх групп  согласуется с ранее примененными методами — алгоритмом NbClust и методом  локтя, которые также указывали на 3 кластера. Хотя метод силуэта  формально предлагал большее число групп, дендрограмма подтверждает</w:t>
      </w:r>
      <w:r>
        <w:t xml:space="preserve">, что  три кластера лучше отражают структуру данных, избегая избыточного  дробления. Разделение на три части обеспечивает содержательную  интерпретацию в предметной области, например, выделение типовых,  переходных и аномальных объектов. Это делает выбор т</w:t>
      </w:r>
      <w:r>
        <w:t xml:space="preserve">рёх кластеров  наиболее логичным и обоснованным.</w:t>
      </w:r>
      <w:r>
        <w:rPr>
          <w:b/>
          <w:bCs/>
          <w:color w:val="000000" w:themeColor="text1"/>
          <w:highlight w:val="none"/>
          <w:lang w:val="ru-RU"/>
        </w:rPr>
      </w:r>
      <w:r>
        <w:rPr>
          <w:rFonts w:ascii="Times New Roman" w:hAnsi="Times New Roman" w:eastAsia="Calibri" w:cs="Times New Roman"/>
          <w:b/>
          <w:bCs/>
          <w:color w:val="000000" w:themeColor="text1"/>
          <w:sz w:val="28"/>
          <w:szCs w:val="28"/>
          <w:highlight w:val="none"/>
          <w:lang w:val="ru-RU"/>
        </w:rPr>
      </w:r>
    </w:p>
    <w:p>
      <w:pPr>
        <w:pBdr/>
        <w:spacing/>
        <w:ind/>
        <w:jc w:val="center"/>
        <w:rPr>
          <w:rFonts w:ascii="Times New Roman" w:hAnsi="Times New Roman" w:eastAsia="Calibri" w:cs="Times New Roman"/>
          <w:sz w:val="28"/>
          <w:szCs w:val="28"/>
          <w:highlight w:val="none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23525" cy="3466610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22372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5523524" cy="34666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34.92pt;height:272.96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</w:p>
    <w:p>
      <w:pPr>
        <w:pBdr/>
        <w:spacing/>
        <w:ind/>
        <w:jc w:val="left"/>
        <w:rPr>
          <w:highlight w:val="none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  <w:t xml:space="preserve">5. 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Построить диаграмму со столбчатыми диаграммами и боксплотами групп 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Провести сравнительный анализ полученных групп.</w:t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89002" cy="3687668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34678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flipH="0" flipV="0">
                          <a:off x="0" y="0"/>
                          <a:ext cx="5789002" cy="36876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455.83pt;height:290.37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left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Г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рафик представляет профили трех кластеров, сформированных на основе нормированных показателей из датасета "Кандидаты на работу", включающего такие переменные, как ssc_percentage, hsc_percentage, degree_percentage, emp_test_percentage и mba_percent. Кластер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1 характеризуется высокими значениями ssc_percentage (около 0.6), hsc_percentage (около 0.7) и degree_percentage (около 0.7), что может указывать на кандидатов с сильной академической подготовкой, но с более низкими показателями emp_test_percentage (около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0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.2) и mba_percent (около 0.4). Кластер 2 выделяется максимальным значением emp_test_percentage (почти 1.0), что говорит о высокой успеваемости кандидатов на профессиональном тестировании, хотя их ssc_percentage (около 0.5) и mba_percent (около 0.2) ниже ср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е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днего. Кластер 3 демонстрирует наивысший показатель mba_percent (почти 0.9), что может свидетельствовать о сильной успеваемости в магистратуре, при этом ssc_percentage, hsc_percentage и degree_percentage остаются на умеренном уровне (около 0.4). Таким обра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зом, кластеры отражают разные сильные стороны кандидатов: академическую успеваемость, профессиональные навыки или успехи в магистратуре.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594710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59150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43599" cy="35947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68.00pt;height:283.05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left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Г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рафик распределения показателей по трем кластерам из датасета "Кандидаты на работу" демонстрирует вариации в нормированных значениях таких переменных, как ssc_percentage, hsc_percentage, degree_percentage, emp_test_percentage и mba_percent, что позволяет в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ы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явить особенности каждой группы. Кластер 1 показывает относительно высокие медианные значения для ssc_percentage (около 0.6), hsc_percentage (около 0.7) и degree_percentage (около 0.6), указывая на кандидатов с сильной академической базой, хотя emp_test_pe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r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centage и mba_percent остаются ниже (около 0.2 и 0.4 соответственно). Кластер 2 выделяется высоким значением emp_test_percentage (около 0.8), что говорит о профессиональной подготовленности, при этом ssc_percentage, hsc_percentage и degree_percentage имеют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более низкие медианы (около 0.5), а mba_percent едва достигает 0.2. Кластер 3 демонстрирует наибольший разброс и медиану mba_percent (около 0.7), что может указывать на успехи в магистратуре, тогда как остальные показатели, такие как ssc_percentage и degre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e_percentage, варьируются в диапазоне 0.4–0.6. Таким образом, кластеры отражают разные профили кандидатов: академическую ориентированность, профессиональные навыки и успехи в магистратуре, с заметными различиями в уровне вариации внутри групп.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pBdr/>
        <w:spacing/>
        <w:ind/>
        <w:jc w:val="left"/>
        <w:rPr/>
      </w:pP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  <w:t xml:space="preserve">6.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 Выполнить кластеризацию своего датасета по k-means</w:t>
      </w:r>
      <w:r/>
    </w:p>
    <w:p>
      <w:pPr>
        <w:pBdr/>
        <w:spacing/>
        <w:ind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eastAsia="Calibri" w:cs="Times New Roman"/>
          <w:sz w:val="28"/>
          <w:szCs w:val="28"/>
          <w:highlight w:val="none"/>
        </w:rPr>
      </w:pP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24437" cy="3220583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80074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 flipH="0" flipV="0">
                          <a:off x="0" y="0"/>
                          <a:ext cx="5224437" cy="32205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411.37pt;height:253.59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График визуализирует результаты K-means кластеризации с тремя кластерами, выполненной на датасете "Кандидаты на работу", где точки представляют кандидатов, а эллипсы показывают плотность распределения кластеров. Кластер 1 (зеленый) расположен в нижней лево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й части графика, демонстрируя компактное распределение кандидатов с относительно низкими значениями по осям, что может указывать на схожие академические и профессиональные характеристики. Кластер 2 (оранжевый) занимает центральную и верхнюю часть, пересека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ется с другими кластерами, что говорит о более высокой вариативности в показателях, таких как ssc_percentage или emp_test_percentage. Кластер 3 (синий) находится в правой части графика, показывая группу кандидатов с более высокими значениями по одной из ос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ей, возможно, mba_percent, и меньшей вариацией по другой. Таким образом, кластеризация выявляет три группы кандидатов с различными профилями, где пересечения эллипсов указывают на потенциальные сходства между группами.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/>
        <w:ind/>
        <w:jc w:val="left"/>
        <w:rPr/>
      </w:pP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  <w:t xml:space="preserve">7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. Выполнить построение scatterplot с помощью функций plot или pairs.</w:t>
      </w:r>
      <w:r/>
    </w:p>
    <w:p>
      <w:pPr>
        <w:pBdr/>
        <w:spacing/>
        <w:ind/>
        <w:jc w:val="left"/>
        <w:rPr>
          <w:rFonts w:ascii="Times New Roman" w:hAnsi="Times New Roman" w:eastAsia="Calibri" w:cs="Times New Roman"/>
          <w:sz w:val="28"/>
          <w:szCs w:val="28"/>
          <w:highlight w:val="none"/>
        </w:rPr>
      </w:pP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684240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95422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3599" cy="3684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468.00pt;height:290.10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</w:p>
    <w:p>
      <w:pPr>
        <w:pBdr/>
        <w:spacing/>
        <w:ind/>
        <w:jc w:val="left"/>
        <w:rPr>
          <w:rFonts w:ascii="Times New Roman" w:hAnsi="Times New Roman" w:eastAsia="Calibri" w:cs="Times New Roman"/>
          <w:sz w:val="28"/>
          <w:szCs w:val="28"/>
          <w:highlight w:val="none"/>
        </w:rPr>
      </w:pP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  <w:t xml:space="preserve">Г</w:t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  <w:t xml:space="preserve">рафик диаграмм рассеяния с цветовой кодировкой по трем кластерам из датасета "Кандидаты на работу" демонстрирует распределение кандидатов по ключевым показателям, таким как ssc_percentage, hsc_percentage, degree_percentage, emp_test_percentage и mba_percen</w:t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  <w:t xml:space="preserve">t</w:t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  <w:t xml:space="preserve">. Кластеры, обозначенные зеленым и красным цветами, показывают значительное перекрытие по всем переменным, что указывает на схожие уровни успеваемости среди кандидатов в этих группах, особенно заметное в ssc_percentage и hsc_percentage, где точки распредел</w:t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  <w:t xml:space="preserve">е</w:t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  <w:t xml:space="preserve">ны равномерно в диапазоне от 0.2 до 0.8. Кластер с преобладанием зеленого цвета (возможно, кластер 1) демонстрирует более высокую плотность в среднем диапазоне (0.4–0.6) по большинству показателей, тогда как красный кластер (возможно, кластер 2 или 3) имее</w:t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  <w:t xml:space="preserve">т</w:t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  <w:t xml:space="preserve"> больше точек с более высокими значениями, особенно в emp_test_percentage и mba_percent, где значения доходят до 1.0. Отсутствие четких границ между кластерами на диаграммах говорит о том, что кандидаты имеют смешанные профили, а различия между группами мо</w:t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  <w:t xml:space="preserve">гут быть менее выраженными, что требует дополнительного анализа для уточнения их характеристик. Таким образом, визуализация подчеркивает сложность сегментации кандидатов и необходимость учитывать комбинацию факторов для более точной интерпретации.</w:t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</w:p>
    <w:p>
      <w:pPr>
        <w:pBdr/>
        <w:spacing/>
        <w:ind/>
        <w:jc w:val="left"/>
        <w:rPr/>
      </w:pP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  <w:t xml:space="preserve">8. 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Построить трехмерную кластеризацию по scatterplot3d </w:t>
      </w:r>
      <w:r/>
    </w:p>
    <w:p>
      <w:pPr>
        <w:pBdr/>
        <w:spacing/>
        <w:ind/>
        <w:jc w:val="left"/>
        <w:rPr>
          <w:rFonts w:ascii="Times New Roman" w:hAnsi="Times New Roman" w:eastAsia="Calibri" w:cs="Times New Roman"/>
          <w:sz w:val="28"/>
          <w:szCs w:val="28"/>
          <w:highlight w:val="none"/>
        </w:rPr>
      </w:pP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</w:p>
    <w:p>
      <w:pPr>
        <w:pBdr/>
        <w:spacing/>
        <w:ind/>
        <w:jc w:val="left"/>
        <w:rPr>
          <w:highlight w:val="none"/>
        </w:rPr>
      </w:pP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684240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71271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943599" cy="3684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468.00pt;height:290.10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  <w:r>
        <w:rPr>
          <w:highlight w:val="none"/>
        </w:rPr>
      </w:r>
    </w:p>
    <w:p>
      <w:pPr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Г</w:t>
      </w:r>
      <w:r>
        <w:rPr>
          <w:highlight w:val="none"/>
        </w:rPr>
        <w:t xml:space="preserve">рафик представляет 3D-визуализацию кластеризации с тремя кластерами из датасета "Кандидаты на работу", где оси соответствуют показателям ssc_percentage, hsc_percentage и degree_percentage, а цвета точек (красный, зеленый, синий) обозначают кластеры 1, 2 и </w:t>
      </w:r>
      <w:r>
        <w:rPr>
          <w:highlight w:val="none"/>
        </w:rPr>
        <w:t xml:space="preserve">3</w:t>
      </w:r>
      <w:r>
        <w:rPr>
          <w:highlight w:val="none"/>
        </w:rPr>
        <w:t xml:space="preserve"> соответственно. Кластер 1 (красный) сосредоточен в верхней части графика, с высокими значениями по всем трем осям (0.8–1.0), что указывает на кандидатов с отличной успеваемостью на всех уровнях образования. Кластер 2 (зеленый) занимает среднюю область, с </w:t>
      </w:r>
      <w:r>
        <w:rPr>
          <w:highlight w:val="none"/>
        </w:rPr>
        <w:t xml:space="preserve">п</w:t>
      </w:r>
      <w:r>
        <w:rPr>
          <w:highlight w:val="none"/>
        </w:rPr>
        <w:t xml:space="preserve">оказателями в диапазоне 0.4–0.8, отражая кандидатов со средними академическими результатами, но с заметной вариацией, особенно в degree_percentage. Кластер 3 (синий) располагается ближе к нижней части графика, с более низкими значениями (0.0–0.6), что може</w:t>
      </w:r>
      <w:r>
        <w:rPr>
          <w:highlight w:val="none"/>
        </w:rPr>
        <w:t xml:space="preserve">т</w:t>
      </w:r>
      <w:r>
        <w:rPr>
          <w:highlight w:val="none"/>
        </w:rPr>
        <w:t xml:space="preserve"> указывать на менее высокую успеваемость по сравнению с другими группами, особенно в ssc_percentage и hsc_percentage. Таким образом, визуализация подчеркивает различия в академическом профиле кандидатов, выделяя три группы с разным уровнем успеваемости по </w:t>
      </w:r>
      <w:r>
        <w:rPr>
          <w:highlight w:val="none"/>
        </w:rPr>
        <w:t xml:space="preserve">ключевым образовательным показателям.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Вывод: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я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 закрепила 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знания, об алгоритмах классификации и кластеризации данных,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ознакомилась с некоторыми функциями языка R, осуществляющими этот вид анализа,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принципами их работы. Научилась визуализировать результаты работы функций кластерного 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анализа и классификаторов, интерпретировать полученные результаты.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/>
        <w:ind/>
        <w:jc w:val="left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Листинг: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library(cluster)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library(ggplot2)  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library(BBmisc)    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library(NbClust)   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library(scatterplot3d)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# 1. Загрузка данных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data &lt;- read.csv("~/Documents/6 semester/Big data/5laba/data.csv", header = TRUE, sep = ",")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# 2. Дескриптивный анализ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numeric_cols &lt;- data[, sapply(data, is.numeric)]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calculate_stats &lt;- function(x) {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mean_val &lt;- mean(x, na.rm = TRUE)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median_val &lt;- median(x, na.rm = TRUE)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mode_val &lt;- as.numeric(names(sort(table(x), decreasing = TRUE)[1]))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var_val &lt;- var(x, na.rm = TRUE)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sd_val &lt;- sd(x, na.rm = TRUE)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min_val &lt;- min(x, na.rm = TRUE)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max_val &lt;- max(x, na.rm = TRUE)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data.frame(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Среднее = mean_val,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Медиана = median_val,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Мода = mode_val,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Дисперсия = var_val,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СтандартноеОтклонение = sd_val,  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Минимум = min_val,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Максимум = max_val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}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stats_list &lt;- lapply(numeric_cols, calculate_stats)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stats_table &lt;- do.call(rbind, stats_list)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stats_table &lt;- cbind(Column = names(numeric_cols), stats_table)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rownames(stats_table) &lt;- NULL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print(stats_table)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# Визуализация данных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plot_analysis &lt;- function(df) {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numeric_cols &lt;- sapply(df, is.numeric)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numeric_names &lt;- names(df)[numeric_cols]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categorical_names &lt;- names(df)[!numeric_cols]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for (col in numeric_names) {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p1 &lt;- ggplot(df, aes(y = !!sym(col))) +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geom_boxplot(fill = "lightblue", width = 0.3) +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ggtitle(paste(col)) +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theme_minimal() +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theme(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axis.title.x = element_blank(),  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axis.text.x = element_blank(),  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axis.ticks.x = element_blank()   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) +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scale_y_continuous(name = col)   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p2 &lt;- ggplot(df, aes(x = !!sym(col))) +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geom_histogram(fill = "orange", bins = 30, color = "black") +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ggtitle(paste(col)) +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theme_minimal()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print(p1)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print(p2)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}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for (col in categorical_names) {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p &lt;- ggplot(df, aes(x = !!sym(col))) +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geom_bar(fill = "orange", color = "black") +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ggtitle(paste(col)) +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theme_minimal() +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theme(axis.text.x = element_text(angle = 45, hjust = 1))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print(p)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}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}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plot_analysis(data)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# 3. Оценка оптимального числа кластеров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numeric_cols &lt;- na.omit(numeric_cols)  # Удаление NA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df_scaled &lt;- scale(numeric_cols)       # Стандартизация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df_sc_norm &lt;- normalize(df_scaled, method = "range", range = c(0, 1))  # Нормализация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# Метод силуэта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silhouette_score &lt;- function(k, data) {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km &lt;- kmeans(data, centers = k, nstart = 25)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ss &lt;- silhouette(km$cluster, dist(data))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mean(ss[, 3])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}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k_values &lt;- 2:10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sil_scores &lt;- sapply(k_values, silhouette_score, data = df_sc_norm)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sil_df &lt;- data.frame(k = k_values, Silhouette = sil_scores)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p_sil &lt;- ggplot(sil_df, aes(x = k, y = Silhouette)) +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geom_line() +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geom_point() +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labs(title = "Метод силуэта", x = "Число кластеров", y = "Средний силуэтный коэффициент") +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theme_minimal()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print(p_sil)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# Метод локтя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wss_score &lt;- function(k, data) {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km &lt;- kmeans(data, centers = k, nstart = 25)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km$tot.withinss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}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wss_scores &lt;- sapply(k_values, wss_score, data = df_sc_norm)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wss_df &lt;- data.frame(k = k_values, WSS = wss_scores)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p_wss &lt;- ggplot(wss_df, aes(x = k, y = WSS)) +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geom_line() +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geom_point() +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labs(title = "Метод локтя", x = "Число кластеров", y = "Сумма квадратов внутри кластеров (WSS)") +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theme_minimal()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print(p_wss)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# Статистика разрыва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gap_stat &lt;- clusGap(df_sc_norm, FUN = kmeans, nstart = 25, K.max = 10, B = 50)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gap_df &lt;- data.frame(k = 1:10, Gap = gap_stat$Tab[, "gap"], SE = gap_stat$Tab[, "SE.sim"])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p_gap &lt;- ggplot(gap_df, aes(x = k, y = Gap)) +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geom_line() +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geom_point() +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geom_errorbar(aes(ymin = Gap - SE, ymax = Gap + SE), width = 0.2) +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labs(title = "Статистика разрыва", x = "Число кластеров", y = "Значение разрыва") +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theme_minimal()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print(p_gap)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# Алгоритм консенсуса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n_clust &lt;- NbClust(df_sc_norm, distance = "euclidean", min.nc = 2, max.nc = 10, 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          method = "kmeans", index = "all")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nbclust_df &lt;- data.frame(k = n_clust$Best.nc["Number_clusters", ])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p_nbclust &lt;- ggplot(nbclust_df, aes(x = k)) +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geom_histogram(binwidth = 1, fill = "orange", color = "black") +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labs(title = "Алгоритм консенсуса (NbClust)", x = "Число кластеров", y = "Частота") +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theme_minimal()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print(p_nbclust)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# 4. Выполнить иерархическую кластеризацию вашего набора данных, построив дендрограмму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dist.datas=dist(df_sc_norm)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clust.datas=hclust(dist.datas,'ward.D')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plot(clust.datas,cex=0.2, ann = FALSE)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title(main = "Дендрограмма кластеризации (3 группы)")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rect.hclust(clust.datas,k=3,border="red")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cluster_cut3 &lt;- cutree(clust.datas, k = 3)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group1_indices &lt;- which(cluster_cut3 == 1)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group1_data_norm &lt;- df_sc_norm[group1_indices, ]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print(group1_data_norm)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# 5. Построить диаграмму со столбчатыми диаграммами и боксплотами групп.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plot_cluster_profiles &lt;- function(clust_obj, df_norm, k) {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while (dev.cur() &gt; 1) dev.off()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dev.new()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cluster_cut &lt;- cutree(clust_obj, k = k)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cluster_means &lt;- t(sapply(1:k, function(i) {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colMeans(df_norm[cluster_cut == i, , drop = FALSE])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}))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param_colors &lt;- rainbow(ncol(df_norm))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layout_matrix &lt;- matrix(c(1:k, rep(k+1, 2)), nrow = 1)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layout(layout_matrix, widths = c(rep(4, k), 3)) 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par(oma = c(0, 0, 2, 0), mar = c(5, 4, 2, 1))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for (i in 1:k) {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barplot(cluster_means[i, ],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   col = param_colors,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   ylim = c(0, 1),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   border = NA,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   main = paste("Кластер", i),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   names.arg = rep("", ncol(df_norm))) 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}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par(mar = c(0, 0, 0, 0))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plot.new()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legend("left",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legend = colnames(df_norm),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fill = param_colors,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xpd = NA,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bty = "n",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cex = 0.8)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layout(1)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}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plot_cluster_profiles(clust.datas, df_sc_norm, k = 3)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plot_cluster_boxplots(clust.datas, df_sc_norm, k = 3)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# 6. Выполнить кластеризацию датасета по k-means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library(ggplot2)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library(stats)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set.seed(123)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kmeans_3 &lt;- kmeans(df_sc_norm, centers = 3, nstart = 25)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pca_result &lt;- prcomp(df_sc_norm, scale. = TRUE)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df_pca &lt;- data.frame(pca_result$x[, 1:2], Cluster = factor(kmeans_3$cluster))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p &lt;- ggplot(df_pca, aes(x = PC1, y = PC2, color = Cluster)) +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geom_point(size = 2) +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stat_ellipse(aes(fill = Cluster), geom = "polygon", alpha = 0.2, show.legend = FALSE) +  # Эллипсы плотности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scale_color_brewer(palette = "Set2") +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scale_fill_brewer(palette = "Set2") +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ggtitle("K-means кластеризация (k = 3)") +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xlab(NULL) + 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ylab(NULL) + 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theme_minimal() +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guides(color = guide_legend(title = "cluster"))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print(p)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split(row.names(df_sc_norm), kmeans_3$cluster)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# 7. Выполнить построение scatterplot с помощью функций plot или pairs.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plot_cluster_pairs &lt;- function(kmeans, k) {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cluster_cut &lt;- kmeans$cluster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pairs(df_sc_norm,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col = cluster_cut,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pch = 19,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main = paste("Диаграммы рассеяния с цветами кластеров (k =", k, ")"))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}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plot_cluster_pairs(kmeans_3, 3)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# 8.</w:t>
        <w:tab/>
        <w:t xml:space="preserve">Построить трехмерную кластеризацию по scatterplot3d.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plot_3d_clusters &lt;- function(df_norm, kmeans_result, k) {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x &lt;- df_norm[, 1]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y &lt;- df_norm[, 2]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z &lt;- df_norm[, 3]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cluster_palette &lt;- rainbow(k)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point_colors &lt;- cluster_palette[kmeans_result$cluster]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scatterplot3d(x, y, z,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       color = point_colors,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       pch = 19,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       main = paste("3D кластеризация (k =", k, ")"),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       xlab = colnames(df_norm)[1],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       ylab = colnames(df_norm)[2],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       zlab = colnames(df_norm)[3])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legend("topright",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legend = paste("Кластер", 1:k),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col = cluster_palette,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pch = 19,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cex = 0.7,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inset = -0.09, 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xpd = TRUE,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box.lty = 0)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}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plot_3d_clusters(df_sc_norm, kmeans_3, k = 3)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rFonts w:ascii="Times New Roman" w:hAnsi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ru-RU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Times New Roman">
    <w:panose1 w:val="02020603050405020304"/>
  </w:font>
  <w:font w:name="Symbol">
    <w:panose1 w:val="05010000000000000000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)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">
    <w:lvl w:ilvl="0">
      <w:isLgl w:val="false"/>
      <w:lvlJc w:val="left"/>
      <w:lvlText w:val="%1)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05">
    <w:name w:val="Table Grid"/>
    <w:basedOn w:val="890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Table Grid Light"/>
    <w:basedOn w:val="89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Plain Table 1"/>
    <w:basedOn w:val="89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Plain Table 2"/>
    <w:basedOn w:val="89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Plain Table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Plain Table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Plain Table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1 Light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1 Light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1 Light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1 Light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1 Light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1 Light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1 Light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2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2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2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2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2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2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3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3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3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3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3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3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4"/>
    <w:basedOn w:val="8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4 - Accent 1"/>
    <w:basedOn w:val="8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4 - Accent 2"/>
    <w:basedOn w:val="8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4 - Accent 3"/>
    <w:basedOn w:val="8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4 - Accent 4"/>
    <w:basedOn w:val="8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4 - Accent 5"/>
    <w:basedOn w:val="8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4 - Accent 6"/>
    <w:basedOn w:val="8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5 Dark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5 Dark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5 Dark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5 Dark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5 Dark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5 Dark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5 Dark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6 Colorful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6 Colorful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6 Colorful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6 Colorful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6 Colorful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6 Colorful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6 Colorful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7 Colorful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7 Colorful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7 Colorful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7 Colorful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7 Colorful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7 Colorful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7 Colorful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1 Light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1 Light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1 Light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1 Light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1 Light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1 Light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1 Light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2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2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2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2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2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2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3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3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3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3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3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3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4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4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4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4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4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4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5 Dark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5 Dark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5 Dark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5 Dark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5 Dark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5 Dark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5 Dark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6 Colorful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6 Colorful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6 Colorful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6 Colorful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6 Colorful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6 Colorful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6 Colorful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7 Colorful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7 Colorful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7 Colorful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7 Colorful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7 Colorful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7 Colorful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7 Colorful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ned - Accent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ned - Accent 1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ned - Accent 2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ned - Accent 3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ned - Accent 4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ned - Accent 5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ned - Accent 6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&amp; Lined - Accent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&amp; Lined - Accent 1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&amp; Lined - Accent 2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&amp; Lined - Accent 3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&amp; Lined - Accent 4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&amp; Lined - Accent 5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&amp; Lined - Accent 6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Bordered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Bordered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Bordered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Bordered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Bordered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Bordered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31">
    <w:name w:val="Heading 1"/>
    <w:basedOn w:val="889"/>
    <w:next w:val="889"/>
    <w:link w:val="841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32">
    <w:name w:val="Heading 2"/>
    <w:basedOn w:val="889"/>
    <w:next w:val="889"/>
    <w:link w:val="842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33">
    <w:name w:val="Heading 3"/>
    <w:basedOn w:val="889"/>
    <w:next w:val="889"/>
    <w:link w:val="843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34">
    <w:name w:val="Heading 4"/>
    <w:basedOn w:val="889"/>
    <w:next w:val="889"/>
    <w:link w:val="844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35">
    <w:name w:val="Heading 5"/>
    <w:basedOn w:val="889"/>
    <w:next w:val="889"/>
    <w:link w:val="845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36">
    <w:name w:val="Heading 6"/>
    <w:basedOn w:val="889"/>
    <w:next w:val="889"/>
    <w:link w:val="846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37">
    <w:name w:val="Heading 7"/>
    <w:basedOn w:val="889"/>
    <w:next w:val="889"/>
    <w:link w:val="847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38">
    <w:name w:val="Heading 8"/>
    <w:basedOn w:val="889"/>
    <w:next w:val="889"/>
    <w:link w:val="848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39">
    <w:name w:val="Heading 9"/>
    <w:basedOn w:val="889"/>
    <w:next w:val="889"/>
    <w:link w:val="849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40" w:default="1">
    <w:name w:val="Default Paragraph Font"/>
    <w:uiPriority w:val="1"/>
    <w:semiHidden/>
    <w:unhideWhenUsed/>
    <w:pPr>
      <w:pBdr/>
      <w:spacing/>
      <w:ind/>
    </w:pPr>
  </w:style>
  <w:style w:type="character" w:styleId="841">
    <w:name w:val="Heading 1 Char"/>
    <w:basedOn w:val="840"/>
    <w:link w:val="83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42">
    <w:name w:val="Heading 2 Char"/>
    <w:basedOn w:val="840"/>
    <w:link w:val="83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43">
    <w:name w:val="Heading 3 Char"/>
    <w:basedOn w:val="840"/>
    <w:link w:val="83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44">
    <w:name w:val="Heading 4 Char"/>
    <w:basedOn w:val="840"/>
    <w:link w:val="834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45">
    <w:name w:val="Heading 5 Char"/>
    <w:basedOn w:val="840"/>
    <w:link w:val="83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46">
    <w:name w:val="Heading 6 Char"/>
    <w:basedOn w:val="840"/>
    <w:link w:val="836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47">
    <w:name w:val="Heading 7 Char"/>
    <w:basedOn w:val="840"/>
    <w:link w:val="837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48">
    <w:name w:val="Heading 8 Char"/>
    <w:basedOn w:val="840"/>
    <w:link w:val="83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49">
    <w:name w:val="Heading 9 Char"/>
    <w:basedOn w:val="840"/>
    <w:link w:val="839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50">
    <w:name w:val="Title"/>
    <w:basedOn w:val="889"/>
    <w:next w:val="889"/>
    <w:link w:val="851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51">
    <w:name w:val="Title Char"/>
    <w:basedOn w:val="840"/>
    <w:link w:val="850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52">
    <w:name w:val="Subtitle"/>
    <w:basedOn w:val="889"/>
    <w:next w:val="889"/>
    <w:link w:val="853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53">
    <w:name w:val="Subtitle Char"/>
    <w:basedOn w:val="840"/>
    <w:link w:val="852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54">
    <w:name w:val="Quote"/>
    <w:basedOn w:val="889"/>
    <w:next w:val="889"/>
    <w:link w:val="855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55">
    <w:name w:val="Quote Char"/>
    <w:basedOn w:val="840"/>
    <w:link w:val="854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56">
    <w:name w:val="Intense Emphasis"/>
    <w:basedOn w:val="840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57">
    <w:name w:val="Intense Quote"/>
    <w:basedOn w:val="889"/>
    <w:next w:val="889"/>
    <w:link w:val="858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58">
    <w:name w:val="Intense Quote Char"/>
    <w:basedOn w:val="840"/>
    <w:link w:val="857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59">
    <w:name w:val="Intense Reference"/>
    <w:basedOn w:val="840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60">
    <w:name w:val="Subtle Emphasis"/>
    <w:basedOn w:val="840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61">
    <w:name w:val="Emphasis"/>
    <w:basedOn w:val="840"/>
    <w:uiPriority w:val="20"/>
    <w:qFormat/>
    <w:pPr>
      <w:pBdr/>
      <w:spacing/>
      <w:ind/>
    </w:pPr>
    <w:rPr>
      <w:i/>
      <w:iCs/>
    </w:rPr>
  </w:style>
  <w:style w:type="character" w:styleId="862">
    <w:name w:val="Strong"/>
    <w:basedOn w:val="840"/>
    <w:uiPriority w:val="22"/>
    <w:qFormat/>
    <w:pPr>
      <w:pBdr/>
      <w:spacing/>
      <w:ind/>
    </w:pPr>
    <w:rPr>
      <w:b/>
      <w:bCs/>
    </w:rPr>
  </w:style>
  <w:style w:type="character" w:styleId="863">
    <w:name w:val="Subtle Reference"/>
    <w:basedOn w:val="840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64">
    <w:name w:val="Book Title"/>
    <w:basedOn w:val="840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65">
    <w:name w:val="Header"/>
    <w:basedOn w:val="889"/>
    <w:link w:val="86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6">
    <w:name w:val="Header Char"/>
    <w:basedOn w:val="840"/>
    <w:link w:val="865"/>
    <w:uiPriority w:val="99"/>
    <w:pPr>
      <w:pBdr/>
      <w:spacing/>
      <w:ind/>
    </w:pPr>
  </w:style>
  <w:style w:type="paragraph" w:styleId="867">
    <w:name w:val="Footer"/>
    <w:basedOn w:val="889"/>
    <w:link w:val="86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8">
    <w:name w:val="Footer Char"/>
    <w:basedOn w:val="840"/>
    <w:link w:val="867"/>
    <w:uiPriority w:val="99"/>
    <w:pPr>
      <w:pBdr/>
      <w:spacing/>
      <w:ind/>
    </w:pPr>
  </w:style>
  <w:style w:type="paragraph" w:styleId="869">
    <w:name w:val="Caption"/>
    <w:basedOn w:val="889"/>
    <w:next w:val="889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70">
    <w:name w:val="footnote text"/>
    <w:basedOn w:val="889"/>
    <w:link w:val="87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71">
    <w:name w:val="Footnote Text Char"/>
    <w:basedOn w:val="840"/>
    <w:link w:val="870"/>
    <w:uiPriority w:val="99"/>
    <w:semiHidden/>
    <w:pPr>
      <w:pBdr/>
      <w:spacing/>
      <w:ind/>
    </w:pPr>
    <w:rPr>
      <w:sz w:val="20"/>
      <w:szCs w:val="20"/>
    </w:rPr>
  </w:style>
  <w:style w:type="character" w:styleId="872">
    <w:name w:val="footnote reference"/>
    <w:basedOn w:val="840"/>
    <w:uiPriority w:val="99"/>
    <w:semiHidden/>
    <w:unhideWhenUsed/>
    <w:pPr>
      <w:pBdr/>
      <w:spacing/>
      <w:ind/>
    </w:pPr>
    <w:rPr>
      <w:vertAlign w:val="superscript"/>
    </w:rPr>
  </w:style>
  <w:style w:type="paragraph" w:styleId="873">
    <w:name w:val="endnote text"/>
    <w:basedOn w:val="889"/>
    <w:link w:val="87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74">
    <w:name w:val="Endnote Text Char"/>
    <w:basedOn w:val="840"/>
    <w:link w:val="873"/>
    <w:uiPriority w:val="99"/>
    <w:semiHidden/>
    <w:pPr>
      <w:pBdr/>
      <w:spacing/>
      <w:ind/>
    </w:pPr>
    <w:rPr>
      <w:sz w:val="20"/>
      <w:szCs w:val="20"/>
    </w:rPr>
  </w:style>
  <w:style w:type="character" w:styleId="875">
    <w:name w:val="endnote reference"/>
    <w:basedOn w:val="840"/>
    <w:uiPriority w:val="99"/>
    <w:semiHidden/>
    <w:unhideWhenUsed/>
    <w:pPr>
      <w:pBdr/>
      <w:spacing/>
      <w:ind/>
    </w:pPr>
    <w:rPr>
      <w:vertAlign w:val="superscript"/>
    </w:rPr>
  </w:style>
  <w:style w:type="character" w:styleId="876">
    <w:name w:val="Hyperlink"/>
    <w:basedOn w:val="840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77">
    <w:name w:val="FollowedHyperlink"/>
    <w:basedOn w:val="840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8">
    <w:name w:val="toc 1"/>
    <w:basedOn w:val="889"/>
    <w:next w:val="889"/>
    <w:uiPriority w:val="39"/>
    <w:unhideWhenUsed/>
    <w:pPr>
      <w:pBdr/>
      <w:spacing w:after="100"/>
      <w:ind/>
    </w:pPr>
  </w:style>
  <w:style w:type="paragraph" w:styleId="879">
    <w:name w:val="toc 2"/>
    <w:basedOn w:val="889"/>
    <w:next w:val="889"/>
    <w:uiPriority w:val="39"/>
    <w:unhideWhenUsed/>
    <w:pPr>
      <w:pBdr/>
      <w:spacing w:after="100"/>
      <w:ind w:left="220"/>
    </w:pPr>
  </w:style>
  <w:style w:type="paragraph" w:styleId="880">
    <w:name w:val="toc 3"/>
    <w:basedOn w:val="889"/>
    <w:next w:val="889"/>
    <w:uiPriority w:val="39"/>
    <w:unhideWhenUsed/>
    <w:pPr>
      <w:pBdr/>
      <w:spacing w:after="100"/>
      <w:ind w:left="440"/>
    </w:pPr>
  </w:style>
  <w:style w:type="paragraph" w:styleId="881">
    <w:name w:val="toc 4"/>
    <w:basedOn w:val="889"/>
    <w:next w:val="889"/>
    <w:uiPriority w:val="39"/>
    <w:unhideWhenUsed/>
    <w:pPr>
      <w:pBdr/>
      <w:spacing w:after="100"/>
      <w:ind w:left="660"/>
    </w:pPr>
  </w:style>
  <w:style w:type="paragraph" w:styleId="882">
    <w:name w:val="toc 5"/>
    <w:basedOn w:val="889"/>
    <w:next w:val="889"/>
    <w:uiPriority w:val="39"/>
    <w:unhideWhenUsed/>
    <w:pPr>
      <w:pBdr/>
      <w:spacing w:after="100"/>
      <w:ind w:left="880"/>
    </w:pPr>
  </w:style>
  <w:style w:type="paragraph" w:styleId="883">
    <w:name w:val="toc 6"/>
    <w:basedOn w:val="889"/>
    <w:next w:val="889"/>
    <w:uiPriority w:val="39"/>
    <w:unhideWhenUsed/>
    <w:pPr>
      <w:pBdr/>
      <w:spacing w:after="100"/>
      <w:ind w:left="1100"/>
    </w:pPr>
  </w:style>
  <w:style w:type="paragraph" w:styleId="884">
    <w:name w:val="toc 7"/>
    <w:basedOn w:val="889"/>
    <w:next w:val="889"/>
    <w:uiPriority w:val="39"/>
    <w:unhideWhenUsed/>
    <w:pPr>
      <w:pBdr/>
      <w:spacing w:after="100"/>
      <w:ind w:left="1320"/>
    </w:pPr>
  </w:style>
  <w:style w:type="paragraph" w:styleId="885">
    <w:name w:val="toc 8"/>
    <w:basedOn w:val="889"/>
    <w:next w:val="889"/>
    <w:uiPriority w:val="39"/>
    <w:unhideWhenUsed/>
    <w:pPr>
      <w:pBdr/>
      <w:spacing w:after="100"/>
      <w:ind w:left="1540"/>
    </w:pPr>
  </w:style>
  <w:style w:type="paragraph" w:styleId="886">
    <w:name w:val="toc 9"/>
    <w:basedOn w:val="889"/>
    <w:next w:val="889"/>
    <w:uiPriority w:val="39"/>
    <w:unhideWhenUsed/>
    <w:pPr>
      <w:pBdr/>
      <w:spacing w:after="100"/>
      <w:ind w:left="1760"/>
    </w:pPr>
  </w:style>
  <w:style w:type="paragraph" w:styleId="887">
    <w:name w:val="TOC Heading"/>
    <w:uiPriority w:val="39"/>
    <w:unhideWhenUsed/>
    <w:pPr>
      <w:pBdr/>
      <w:spacing/>
      <w:ind/>
    </w:pPr>
  </w:style>
  <w:style w:type="paragraph" w:styleId="888">
    <w:name w:val="table of figures"/>
    <w:basedOn w:val="889"/>
    <w:next w:val="889"/>
    <w:uiPriority w:val="99"/>
    <w:unhideWhenUsed/>
    <w:pPr>
      <w:pBdr/>
      <w:spacing w:after="0" w:afterAutospacing="0"/>
      <w:ind/>
    </w:pPr>
  </w:style>
  <w:style w:type="paragraph" w:styleId="889" w:default="1">
    <w:name w:val="Normal"/>
    <w:qFormat/>
    <w:pPr>
      <w:pBdr/>
      <w:spacing/>
      <w:ind/>
    </w:pPr>
  </w:style>
  <w:style w:type="table" w:styleId="89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91" w:default="1">
    <w:name w:val="No List"/>
    <w:uiPriority w:val="99"/>
    <w:semiHidden/>
    <w:unhideWhenUsed/>
    <w:pPr>
      <w:pBdr/>
      <w:spacing/>
      <w:ind/>
    </w:pPr>
  </w:style>
  <w:style w:type="paragraph" w:styleId="892">
    <w:name w:val="No Spacing"/>
    <w:basedOn w:val="889"/>
    <w:uiPriority w:val="1"/>
    <w:qFormat/>
    <w:pPr>
      <w:pBdr/>
      <w:spacing w:after="0" w:line="240" w:lineRule="auto"/>
      <w:ind/>
    </w:pPr>
  </w:style>
  <w:style w:type="paragraph" w:styleId="893">
    <w:name w:val="List Paragraph"/>
    <w:basedOn w:val="889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ONLYOFFICE/8.3.0.97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5</cp:revision>
  <dcterms:modified xsi:type="dcterms:W3CDTF">2025-04-23T19:03:55Z</dcterms:modified>
</cp:coreProperties>
</file>