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PIB2 Project — Final Report</w:t>
      </w:r>
    </w:p>
    <w:p>
      <w:pPr>
        <w:spacing w:after="400"/>
        <w:jc w:val="center"/>
      </w:pPr>
      <w:r>
        <w:rPr>
          <w:i/>
          <w:iCs/>
          <w:sz w:val="26"/>
          <w:szCs w:val="26"/>
        </w:rPr>
        <w:t xml:space="preserve">De novo protein binder design targeting the PexRD54 AIM motif</w:t>
      </w:r>
    </w:p>
    <w:p>
      <w:pPr>
        <w:pBdr>
          <w:bottom w:val="single" w:color="999999" w:sz="6" w:space="1"/>
        </w:pBdr>
        <w:spacing w:after="200"/>
      </w:pPr>
    </w:p>
    <w:p>
      <w:pPr>
        <w:pStyle w:val="Heading1"/>
        <w:spacing w:after="150" w:before="300"/>
      </w:pPr>
      <w:r>
        <w:t xml:space="preserve">1. Project Objective</w:t>
      </w:r>
    </w:p>
    <w:p>
      <w:pPr>
        <w:spacing w:after="120"/>
      </w:pPr>
      <w:r>
        <w:t xml:space="preserve">This project aims to computationally design a de novo mini-protein binder that occludes the AIM (ATG8-Interacting Motif) of PexRD54, an RXLR effector protein secreted by the potato late-blight pathogen Phytophthora infestans. PexRD54 hijacks the host plant's selective autophagy machinery by competing with the native cargo receptor Joka2 for binding to ATG8CL, thereby suppressing a key plant immune defense pathway. A binder that sterically blocks the PexRD54-ATG8CL interaction is hypothesized to restore normal host autophagy-based defense.</w:t>
      </w:r>
    </w:p>
    <w:p>
      <w:pPr>
        <w:pStyle w:val="Heading2"/>
        <w:spacing w:after="120" w:before="250"/>
      </w:pPr>
      <w:r>
        <w:t xml:space="preserve">Biological target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D9E2F3" w:val="clear"/>
            <w:tcMar>
              <w:top w:type="dxa" w:w="60"/>
              <w:left w:type="dxa" w:w="100"/>
              <w:bottom w:type="dxa" w:w="60"/>
              <w:right w:type="dxa" w:w="100"/>
            </w:tcMar>
          </w:tcPr>
          <w:p>
            <w:pPr>
              <w:jc w:val="left"/>
            </w:pPr>
            <w:r>
              <w:rPr>
                <w:b/>
                <w:bCs/>
                <w:sz w:val="20"/>
                <w:szCs w:val="20"/>
              </w:rPr>
              <w:t xml:space="preserve">Field</w:t>
            </w:r>
          </w:p>
        </w:tc>
        <w:tc>
          <w:tcPr>
            <w:tcW w:type="dxa" w:w="6800"/>
            <w:shd w:fill="D9E2F3" w:val="clear"/>
            <w:tcMar>
              <w:top w:type="dxa" w:w="60"/>
              <w:left w:type="dxa" w:w="100"/>
              <w:bottom w:type="dxa" w:w="60"/>
              <w:right w:type="dxa" w:w="100"/>
            </w:tcMar>
          </w:tcPr>
          <w:p>
            <w:pPr>
              <w:jc w:val="left"/>
            </w:pPr>
            <w:r>
              <w:rPr>
                <w:b/>
                <w:bCs/>
                <w:sz w:val="20"/>
                <w:szCs w:val="20"/>
              </w:rPr>
              <w:t xml:space="preserve">Value</w:t>
            </w:r>
          </w:p>
        </w:tc>
      </w:tr>
      <w:tr>
        <w:tc>
          <w:tcPr>
            <w:tcW w:type="dxa" w:w="3200"/>
            <w:tcMar>
              <w:top w:type="dxa" w:w="60"/>
              <w:left w:type="dxa" w:w="100"/>
              <w:bottom w:type="dxa" w:w="60"/>
              <w:right w:type="dxa" w:w="100"/>
            </w:tcMar>
          </w:tcPr>
          <w:p>
            <w:pPr>
              <w:jc w:val="left"/>
            </w:pPr>
            <w:r>
              <w:rPr>
                <w:b w:val="false"/>
                <w:bCs w:val="false"/>
                <w:sz w:val="20"/>
                <w:szCs w:val="20"/>
              </w:rPr>
              <w:t xml:space="preserve">Target protein</w:t>
            </w:r>
          </w:p>
        </w:tc>
        <w:tc>
          <w:tcPr>
            <w:tcW w:type="dxa" w:w="6800"/>
            <w:tcMar>
              <w:top w:type="dxa" w:w="60"/>
              <w:left w:type="dxa" w:w="100"/>
              <w:bottom w:type="dxa" w:w="60"/>
              <w:right w:type="dxa" w:w="100"/>
            </w:tcMar>
          </w:tcPr>
          <w:p>
            <w:pPr>
              <w:jc w:val="left"/>
            </w:pPr>
            <w:r>
              <w:rPr>
                <w:b w:val="false"/>
                <w:bCs w:val="false"/>
                <w:sz w:val="20"/>
                <w:szCs w:val="20"/>
              </w:rPr>
              <w:t xml:space="preserve">PexRD54 (RXLR effector 54), UniProt D0NBE6</w:t>
            </w:r>
          </w:p>
        </w:tc>
      </w:tr>
      <w:tr>
        <w:tc>
          <w:tcPr>
            <w:tcW w:type="dxa" w:w="3200"/>
            <w:shd w:fill="F2F2F2" w:val="clear"/>
            <w:tcMar>
              <w:top w:type="dxa" w:w="60"/>
              <w:left w:type="dxa" w:w="100"/>
              <w:bottom w:type="dxa" w:w="60"/>
              <w:right w:type="dxa" w:w="100"/>
            </w:tcMar>
          </w:tcPr>
          <w:p>
            <w:pPr>
              <w:jc w:val="left"/>
            </w:pPr>
            <w:r>
              <w:rPr>
                <w:b w:val="false"/>
                <w:bCs w:val="false"/>
                <w:sz w:val="20"/>
                <w:szCs w:val="20"/>
              </w:rPr>
              <w:t xml:space="preserve">Source organism</w:t>
            </w:r>
          </w:p>
        </w:tc>
        <w:tc>
          <w:tcPr>
            <w:tcW w:type="dxa" w:w="6800"/>
            <w:shd w:fill="F2F2F2" w:val="clear"/>
            <w:tcMar>
              <w:top w:type="dxa" w:w="60"/>
              <w:left w:type="dxa" w:w="100"/>
              <w:bottom w:type="dxa" w:w="60"/>
              <w:right w:type="dxa" w:w="100"/>
            </w:tcMar>
          </w:tcPr>
          <w:p>
            <w:pPr>
              <w:jc w:val="left"/>
            </w:pPr>
            <w:r>
              <w:rPr>
                <w:b w:val="false"/>
                <w:bCs w:val="false"/>
                <w:sz w:val="20"/>
                <w:szCs w:val="20"/>
              </w:rPr>
              <w:t xml:space="preserve">Phytophthora infestans (potato/tomato late blight pathogen)</w:t>
            </w:r>
          </w:p>
        </w:tc>
      </w:tr>
      <w:tr>
        <w:tc>
          <w:tcPr>
            <w:tcW w:type="dxa" w:w="3200"/>
            <w:tcMar>
              <w:top w:type="dxa" w:w="60"/>
              <w:left w:type="dxa" w:w="100"/>
              <w:bottom w:type="dxa" w:w="60"/>
              <w:right w:type="dxa" w:w="100"/>
            </w:tcMar>
          </w:tcPr>
          <w:p>
            <w:pPr>
              <w:jc w:val="left"/>
            </w:pPr>
            <w:r>
              <w:rPr>
                <w:b w:val="false"/>
                <w:bCs w:val="false"/>
                <w:sz w:val="20"/>
                <w:szCs w:val="20"/>
              </w:rPr>
              <w:t xml:space="preserve">Functional site</w:t>
            </w:r>
          </w:p>
        </w:tc>
        <w:tc>
          <w:tcPr>
            <w:tcW w:type="dxa" w:w="6800"/>
            <w:tcMar>
              <w:top w:type="dxa" w:w="60"/>
              <w:left w:type="dxa" w:w="100"/>
              <w:bottom w:type="dxa" w:w="60"/>
              <w:right w:type="dxa" w:w="100"/>
            </w:tcMar>
          </w:tcPr>
          <w:p>
            <w:pPr>
              <w:jc w:val="left"/>
            </w:pPr>
            <w:r>
              <w:rPr>
                <w:b w:val="false"/>
                <w:bCs w:val="false"/>
                <w:sz w:val="20"/>
                <w:szCs w:val="20"/>
              </w:rPr>
              <w:t xml:space="preserve">AIM motif, residues 372-381 (construct numbering 300-381)</w:t>
            </w:r>
          </w:p>
        </w:tc>
      </w:tr>
      <w:tr>
        <w:tc>
          <w:tcPr>
            <w:tcW w:type="dxa" w:w="3200"/>
            <w:shd w:fill="F2F2F2" w:val="clear"/>
            <w:tcMar>
              <w:top w:type="dxa" w:w="60"/>
              <w:left w:type="dxa" w:w="100"/>
              <w:bottom w:type="dxa" w:w="60"/>
              <w:right w:type="dxa" w:w="100"/>
            </w:tcMar>
          </w:tcPr>
          <w:p>
            <w:pPr>
              <w:jc w:val="left"/>
            </w:pPr>
            <w:r>
              <w:rPr>
                <w:b w:val="false"/>
                <w:bCs w:val="false"/>
                <w:sz w:val="20"/>
                <w:szCs w:val="20"/>
              </w:rPr>
              <w:t xml:space="preserve">Critical anchor 1</w:t>
            </w:r>
          </w:p>
        </w:tc>
        <w:tc>
          <w:tcPr>
            <w:tcW w:type="dxa" w:w="6800"/>
            <w:shd w:fill="F2F2F2" w:val="clear"/>
            <w:tcMar>
              <w:top w:type="dxa" w:w="60"/>
              <w:left w:type="dxa" w:w="100"/>
              <w:bottom w:type="dxa" w:w="60"/>
              <w:right w:type="dxa" w:w="100"/>
            </w:tcMar>
          </w:tcPr>
          <w:p>
            <w:pPr>
              <w:jc w:val="left"/>
            </w:pPr>
            <w:r>
              <w:rPr>
                <w:b w:val="false"/>
                <w:bCs w:val="false"/>
                <w:sz w:val="20"/>
                <w:szCs w:val="20"/>
              </w:rPr>
              <w:t xml:space="preserve">Trp378 — aromatic anchor (Θ position, binds ATG8 hydrophobic pocket HP1)</w:t>
            </w:r>
          </w:p>
        </w:tc>
      </w:tr>
      <w:tr>
        <w:tc>
          <w:tcPr>
            <w:tcW w:type="dxa" w:w="3200"/>
            <w:tcMar>
              <w:top w:type="dxa" w:w="60"/>
              <w:left w:type="dxa" w:w="100"/>
              <w:bottom w:type="dxa" w:w="60"/>
              <w:right w:type="dxa" w:w="100"/>
            </w:tcMar>
          </w:tcPr>
          <w:p>
            <w:pPr>
              <w:jc w:val="left"/>
            </w:pPr>
            <w:r>
              <w:rPr>
                <w:b w:val="false"/>
                <w:bCs w:val="false"/>
                <w:sz w:val="20"/>
                <w:szCs w:val="20"/>
              </w:rPr>
              <w:t xml:space="preserve">Critical anchor 2</w:t>
            </w:r>
          </w:p>
        </w:tc>
        <w:tc>
          <w:tcPr>
            <w:tcW w:type="dxa" w:w="6800"/>
            <w:tcMar>
              <w:top w:type="dxa" w:w="60"/>
              <w:left w:type="dxa" w:w="100"/>
              <w:bottom w:type="dxa" w:w="60"/>
              <w:right w:type="dxa" w:w="100"/>
            </w:tcMar>
          </w:tcPr>
          <w:p>
            <w:pPr>
              <w:jc w:val="left"/>
            </w:pPr>
            <w:r>
              <w:rPr>
                <w:b w:val="false"/>
                <w:bCs w:val="false"/>
                <w:sz w:val="20"/>
                <w:szCs w:val="20"/>
              </w:rPr>
              <w:t xml:space="preserve">Val381 — hydrophobic anchor (Γ position, binds ATG8 hydrophobic pocket HP2)</w:t>
            </w:r>
          </w:p>
        </w:tc>
      </w:tr>
      <w:tr>
        <w:tc>
          <w:tcPr>
            <w:tcW w:type="dxa" w:w="3200"/>
            <w:shd w:fill="F2F2F2" w:val="clear"/>
            <w:tcMar>
              <w:top w:type="dxa" w:w="60"/>
              <w:left w:type="dxa" w:w="100"/>
              <w:bottom w:type="dxa" w:w="60"/>
              <w:right w:type="dxa" w:w="100"/>
            </w:tcMar>
          </w:tcPr>
          <w:p>
            <w:pPr>
              <w:jc w:val="left"/>
            </w:pPr>
            <w:r>
              <w:rPr>
                <w:b w:val="false"/>
                <w:bCs w:val="false"/>
                <w:sz w:val="20"/>
                <w:szCs w:val="20"/>
              </w:rPr>
              <w:t xml:space="preserve">Motif architecture</w:t>
            </w:r>
          </w:p>
        </w:tc>
        <w:tc>
          <w:tcPr>
            <w:tcW w:type="dxa" w:w="6800"/>
            <w:shd w:fill="F2F2F2" w:val="clear"/>
            <w:tcMar>
              <w:top w:type="dxa" w:w="60"/>
              <w:left w:type="dxa" w:w="100"/>
              <w:bottom w:type="dxa" w:w="60"/>
              <w:right w:type="dxa" w:w="100"/>
            </w:tcMar>
          </w:tcPr>
          <w:p>
            <w:pPr>
              <w:jc w:val="left"/>
            </w:pPr>
            <w:r>
              <w:rPr>
                <w:b w:val="false"/>
                <w:bCs w:val="false"/>
                <w:sz w:val="20"/>
                <w:szCs w:val="20"/>
              </w:rPr>
              <w:t xml:space="preserve">Canonical Θ-x-x-Γ spacing (Trp378-Glu379-Ile380-Val381)</w:t>
            </w:r>
          </w:p>
        </w:tc>
      </w:tr>
      <w:tr>
        <w:tc>
          <w:tcPr>
            <w:tcW w:type="dxa" w:w="3200"/>
            <w:tcMar>
              <w:top w:type="dxa" w:w="60"/>
              <w:left w:type="dxa" w:w="100"/>
              <w:bottom w:type="dxa" w:w="60"/>
              <w:right w:type="dxa" w:w="100"/>
            </w:tcMar>
          </w:tcPr>
          <w:p>
            <w:pPr>
              <w:jc w:val="left"/>
            </w:pPr>
            <w:r>
              <w:rPr>
                <w:b w:val="false"/>
                <w:bCs w:val="false"/>
                <w:sz w:val="20"/>
                <w:szCs w:val="20"/>
              </w:rPr>
              <w:t xml:space="preserve">Proposed mechanism</w:t>
            </w:r>
          </w:p>
        </w:tc>
        <w:tc>
          <w:tcPr>
            <w:tcW w:type="dxa" w:w="6800"/>
            <w:tcMar>
              <w:top w:type="dxa" w:w="60"/>
              <w:left w:type="dxa" w:w="100"/>
              <w:bottom w:type="dxa" w:w="60"/>
              <w:right w:type="dxa" w:w="100"/>
            </w:tcMar>
          </w:tcPr>
          <w:p>
            <w:pPr>
              <w:jc w:val="left"/>
            </w:pPr>
            <w:r>
              <w:rPr>
                <w:b w:val="false"/>
                <w:bCs w:val="false"/>
                <w:sz w:val="20"/>
                <w:szCs w:val="20"/>
              </w:rPr>
              <w:t xml:space="preserve">Steric occlusion of the AIM motif to block the PexRD54-ATG8CL interaction</w:t>
            </w:r>
          </w:p>
        </w:tc>
      </w:tr>
    </w:tbl>
    <w:p>
      <w:pPr>
        <w:spacing w:after="200"/>
      </w:pPr>
    </w:p>
    <w:p>
      <w:pPr>
        <w:pStyle w:val="Heading1"/>
        <w:spacing w:after="150" w:before="300"/>
      </w:pPr>
      <w:r>
        <w:t xml:space="preserve">2. Methodology &amp; Tools</w:t>
      </w:r>
    </w:p>
    <w:p>
      <w:pPr>
        <w:pStyle w:val="ListParagraph"/>
        <w:numPr>
          <w:ilvl w:val="0"/>
          <w:numId w:val="1"/>
        </w:numPr>
        <w:spacing w:after="60"/>
      </w:pPr>
      <w:r>
        <w:t xml:space="preserve">Binder design / hallucination: BindCraft (AlphaFold2-based hallucination + ProteinMPNN sequence redesign)</w:t>
      </w:r>
    </w:p>
    <w:p>
      <w:pPr>
        <w:pStyle w:val="ListParagraph"/>
        <w:numPr>
          <w:ilvl w:val="0"/>
          <w:numId w:val="1"/>
        </w:numPr>
        <w:spacing w:after="60"/>
      </w:pPr>
      <w:r>
        <w:t xml:space="preserve">Structure prediction for independent validation: ColabFold (AlphaFold2-Multimer v3), run on Kaggle</w:t>
      </w:r>
    </w:p>
    <w:p>
      <w:pPr>
        <w:pStyle w:val="ListParagraph"/>
        <w:numPr>
          <w:ilvl w:val="0"/>
          <w:numId w:val="1"/>
        </w:numPr>
        <w:spacing w:after="60"/>
      </w:pPr>
      <w:r>
        <w:t xml:space="preserve">Structure refinement: Amber energy minimization (relaxation)</w:t>
      </w:r>
    </w:p>
    <w:p>
      <w:pPr>
        <w:pStyle w:val="ListParagraph"/>
        <w:numPr>
          <w:ilvl w:val="0"/>
          <w:numId w:val="1"/>
        </w:numPr>
        <w:spacing w:after="60"/>
      </w:pPr>
      <w:r>
        <w:t xml:space="preserve">Custom verification tooling: Python (Biopython/SciPy) and R (bio3d) scripts, built during this project, to independently re-check every structural claim rather than trusting summary statistics alone</w:t>
      </w:r>
    </w:p>
    <w:p>
      <w:pPr>
        <w:pStyle w:val="ListParagraph"/>
        <w:numPr>
          <w:ilvl w:val="0"/>
          <w:numId w:val="1"/>
        </w:numPr>
        <w:spacing w:after="60"/>
      </w:pPr>
      <w:r>
        <w:t xml:space="preserve">Sequence novelty check: NCBI BLAST (blastp) against the ClusteredNR database</w:t>
      </w:r>
    </w:p>
    <w:p>
      <w:pPr>
        <w:pStyle w:val="ListParagraph"/>
        <w:numPr>
          <w:ilvl w:val="0"/>
          <w:numId w:val="1"/>
        </w:numPr>
        <w:spacing w:after="60"/>
      </w:pPr>
      <w:r>
        <w:t xml:space="preserve">Sequence property checks: GRAVY (Kyte-Doolittle hydropathy), instability index (Guruprasad et al. 1990), amino-acid composition</w:t>
      </w:r>
    </w:p>
    <w:p>
      <w:pPr>
        <w:pStyle w:val="Heading1"/>
        <w:spacing w:after="150" w:before="300"/>
      </w:pPr>
      <w:r>
        <w:t xml:space="preserve">3. Project Timeline — Iterations and Corrections</w:t>
      </w:r>
    </w:p>
    <w:p>
      <w:pPr>
        <w:spacing w:after="120"/>
      </w:pPr>
      <w:r>
        <w:t xml:space="preserve">The project went through several rounds of failure, root-cause diagnosis, and correction. This history is preserved here because it materially affects how much confidence to place in the final candidate, and because the same verification method should be re-applied to any future design from this pipeline.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4300"/>
      </w:tblGrid>
      <w:tr>
        <w:trPr>
          <w:tblHeader/>
        </w:trPr>
        <w:tc>
          <w:tcPr>
            <w:tcW w:type="dxa" w:w="1400"/>
            <w:shd w:fill="D9E2F3" w:val="clear"/>
            <w:tcMar>
              <w:top w:type="dxa" w:w="60"/>
              <w:left w:type="dxa" w:w="100"/>
              <w:bottom w:type="dxa" w:w="60"/>
              <w:right w:type="dxa" w:w="100"/>
            </w:tcMar>
          </w:tcPr>
          <w:p>
            <w:pPr>
              <w:jc w:val="left"/>
            </w:pPr>
            <w:r>
              <w:rPr>
                <w:b/>
                <w:bCs/>
                <w:sz w:val="20"/>
                <w:szCs w:val="20"/>
              </w:rPr>
              <w:t xml:space="preserve">Stage</w:t>
            </w:r>
          </w:p>
        </w:tc>
        <w:tc>
          <w:tcPr>
            <w:tcW w:type="dxa" w:w="4300"/>
            <w:shd w:fill="D9E2F3" w:val="clear"/>
            <w:tcMar>
              <w:top w:type="dxa" w:w="60"/>
              <w:left w:type="dxa" w:w="100"/>
              <w:bottom w:type="dxa" w:w="60"/>
              <w:right w:type="dxa" w:w="100"/>
            </w:tcMar>
          </w:tcPr>
          <w:p>
            <w:pPr>
              <w:jc w:val="left"/>
            </w:pPr>
            <w:r>
              <w:rPr>
                <w:b/>
                <w:bCs/>
                <w:sz w:val="20"/>
                <w:szCs w:val="20"/>
              </w:rPr>
              <w:t xml:space="preserve">What was done</w:t>
            </w:r>
          </w:p>
        </w:tc>
        <w:tc>
          <w:tcPr>
            <w:tcW w:type="dxa" w:w="4300"/>
            <w:shd w:fill="D9E2F3" w:val="clear"/>
            <w:tcMar>
              <w:top w:type="dxa" w:w="60"/>
              <w:left w:type="dxa" w:w="100"/>
              <w:bottom w:type="dxa" w:w="60"/>
              <w:right w:type="dxa" w:w="100"/>
            </w:tcMar>
          </w:tcPr>
          <w:p>
            <w:pPr>
              <w:jc w:val="left"/>
            </w:pPr>
            <w:r>
              <w:rPr>
                <w:b/>
                <w:bCs/>
                <w:sz w:val="20"/>
                <w:szCs w:val="20"/>
              </w:rPr>
              <w:t xml:space="preserve">Outcome</w:t>
            </w:r>
          </w:p>
        </w:tc>
      </w:tr>
      <w:tr>
        <w:tc>
          <w:tcPr>
            <w:tcW w:type="dxa" w:w="1400"/>
            <w:tcMar>
              <w:top w:type="dxa" w:w="60"/>
              <w:left w:type="dxa" w:w="100"/>
              <w:bottom w:type="dxa" w:w="60"/>
              <w:right w:type="dxa" w:w="100"/>
            </w:tcMar>
          </w:tcPr>
          <w:p>
            <w:pPr>
              <w:jc w:val="left"/>
            </w:pPr>
            <w:r>
              <w:rPr>
                <w:b w:val="false"/>
                <w:bCs w:val="false"/>
                <w:sz w:val="20"/>
                <w:szCs w:val="20"/>
              </w:rPr>
              <w:t xml:space="preserve">Round 1</w:t>
            </w:r>
          </w:p>
        </w:tc>
        <w:tc>
          <w:tcPr>
            <w:tcW w:type="dxa" w:w="4300"/>
            <w:tcMar>
              <w:top w:type="dxa" w:w="60"/>
              <w:left w:type="dxa" w:w="100"/>
              <w:bottom w:type="dxa" w:w="60"/>
              <w:right w:type="dxa" w:w="100"/>
            </w:tcMar>
          </w:tcPr>
          <w:p>
            <w:pPr>
              <w:jc w:val="left"/>
            </w:pPr>
            <w:r>
              <w:rPr>
                <w:b w:val="false"/>
                <w:bCs w:val="false"/>
                <w:sz w:val="20"/>
                <w:szCs w:val="20"/>
              </w:rPr>
              <w:t xml:space="preserve">Initial BindCraft run with hotspot A340-370 (an over-broad, incorrectly guessed region)</w:t>
            </w:r>
          </w:p>
        </w:tc>
        <w:tc>
          <w:tcPr>
            <w:tcW w:type="dxa" w:w="4300"/>
            <w:tcMar>
              <w:top w:type="dxa" w:w="60"/>
              <w:left w:type="dxa" w:w="100"/>
              <w:bottom w:type="dxa" w:w="60"/>
              <w:right w:type="dxa" w:w="100"/>
            </w:tcMar>
          </w:tcPr>
          <w:p>
            <w:pPr>
              <w:jc w:val="left"/>
            </w:pPr>
            <w:r>
              <w:rPr>
                <w:b w:val="false"/>
                <w:bCs w:val="false"/>
                <w:sz w:val="20"/>
                <w:szCs w:val="20"/>
              </w:rPr>
              <w:t xml:space="preserve">Designs (mpnn4/mpnn5) passed BindCraft's relaxed_filters with strong scores (i_pTM ~0.78-0.80), but independent contact analysis showed the binder actually contacted residues 300-339 — not the declared hotspot at all. Rejected.</w:t>
            </w:r>
          </w:p>
        </w:tc>
      </w:tr>
      <w:tr>
        <w:tc>
          <w:tcPr>
            <w:tcW w:type="dxa" w:w="1400"/>
            <w:shd w:fill="F2F2F2" w:val="clear"/>
            <w:tcMar>
              <w:top w:type="dxa" w:w="60"/>
              <w:left w:type="dxa" w:w="100"/>
              <w:bottom w:type="dxa" w:w="60"/>
              <w:right w:type="dxa" w:w="100"/>
            </w:tcMar>
          </w:tcPr>
          <w:p>
            <w:pPr>
              <w:jc w:val="left"/>
            </w:pPr>
            <w:r>
              <w:rPr>
                <w:b w:val="false"/>
                <w:bCs w:val="false"/>
                <w:sz w:val="20"/>
                <w:szCs w:val="20"/>
              </w:rPr>
              <w:t xml:space="preserve">Diagnosis</w:t>
            </w:r>
          </w:p>
        </w:tc>
        <w:tc>
          <w:tcPr>
            <w:tcW w:type="dxa" w:w="4300"/>
            <w:shd w:fill="F2F2F2" w:val="clear"/>
            <w:tcMar>
              <w:top w:type="dxa" w:w="60"/>
              <w:left w:type="dxa" w:w="100"/>
              <w:bottom w:type="dxa" w:w="60"/>
              <w:right w:type="dxa" w:w="100"/>
            </w:tcMar>
          </w:tcPr>
          <w:p>
            <w:pPr>
              <w:jc w:val="left"/>
            </w:pPr>
            <w:r>
              <w:rPr>
                <w:b w:val="false"/>
                <w:bCs w:val="false"/>
                <w:sz w:val="20"/>
                <w:szCs w:val="20"/>
              </w:rPr>
              <w:t xml:space="preserve">Literature review (Maqbool et al. 2016; Dagdas et al. 2016) established the true AIM motif core at residues 372-381, with Trp378 and Val381 as the two functionally essential anchor residues</w:t>
            </w:r>
          </w:p>
        </w:tc>
        <w:tc>
          <w:tcPr>
            <w:tcW w:type="dxa" w:w="4300"/>
            <w:shd w:fill="F2F2F2" w:val="clear"/>
            <w:tcMar>
              <w:top w:type="dxa" w:w="60"/>
              <w:left w:type="dxa" w:w="100"/>
              <w:bottom w:type="dxa" w:w="60"/>
              <w:right w:type="dxa" w:w="100"/>
            </w:tcMar>
          </w:tcPr>
          <w:p>
            <w:pPr>
              <w:jc w:val="left"/>
            </w:pPr>
            <w:r>
              <w:rPr>
                <w:b w:val="false"/>
                <w:bCs w:val="false"/>
                <w:sz w:val="20"/>
                <w:szCs w:val="20"/>
              </w:rPr>
              <w:t xml:space="preserve">Hotspot corrected to A372-381 (later narrowed to A377-381)</w:t>
            </w:r>
          </w:p>
        </w:tc>
      </w:tr>
      <w:tr>
        <w:tc>
          <w:tcPr>
            <w:tcW w:type="dxa" w:w="1400"/>
            <w:tcMar>
              <w:top w:type="dxa" w:w="60"/>
              <w:left w:type="dxa" w:w="100"/>
              <w:bottom w:type="dxa" w:w="60"/>
              <w:right w:type="dxa" w:w="100"/>
            </w:tcMar>
          </w:tcPr>
          <w:p>
            <w:pPr>
              <w:jc w:val="left"/>
            </w:pPr>
            <w:r>
              <w:rPr>
                <w:b w:val="false"/>
                <w:bCs w:val="false"/>
                <w:sz w:val="20"/>
                <w:szCs w:val="20"/>
              </w:rPr>
              <w:t xml:space="preserve">Mitigation</w:t>
            </w:r>
          </w:p>
        </w:tc>
        <w:tc>
          <w:tcPr>
            <w:tcW w:type="dxa" w:w="4300"/>
            <w:tcMar>
              <w:top w:type="dxa" w:w="60"/>
              <w:left w:type="dxa" w:w="100"/>
              <w:bottom w:type="dxa" w:w="60"/>
              <w:right w:type="dxa" w:w="100"/>
            </w:tcMar>
          </w:tcPr>
          <w:p>
            <w:pPr>
              <w:jc w:val="left"/>
            </w:pPr>
            <w:r>
              <w:rPr>
                <w:b w:val="false"/>
                <w:bCs w:val="false"/>
                <w:sz w:val="20"/>
                <w:szCs w:val="20"/>
              </w:rPr>
              <w:t xml:space="preserve">The off-target region (residues 300-339) was mutated to Lysine on the target PDB (backbone + Cβ retained, side chains stripped) to bias the hallucination process away from that site</w:t>
            </w:r>
          </w:p>
        </w:tc>
        <w:tc>
          <w:tcPr>
            <w:tcW w:type="dxa" w:w="4300"/>
            <w:tcMar>
              <w:top w:type="dxa" w:w="60"/>
              <w:left w:type="dxa" w:w="100"/>
              <w:bottom w:type="dxa" w:w="60"/>
              <w:right w:type="dxa" w:w="100"/>
            </w:tcMar>
          </w:tcPr>
          <w:p>
            <w:pPr>
              <w:jc w:val="left"/>
            </w:pPr>
            <w:r>
              <w:rPr>
                <w:b w:val="false"/>
                <w:bCs w:val="false"/>
                <w:sz w:val="20"/>
                <w:szCs w:val="20"/>
              </w:rPr>
              <w:t xml:space="preserve">Target file for BindCraft updated: PIB2_target_trimmed_LYSpatch_300-339.pdb</w:t>
            </w:r>
          </w:p>
        </w:tc>
      </w:tr>
      <w:tr>
        <w:tc>
          <w:tcPr>
            <w:tcW w:type="dxa" w:w="1400"/>
            <w:shd w:fill="F2F2F2" w:val="clear"/>
            <w:tcMar>
              <w:top w:type="dxa" w:w="60"/>
              <w:left w:type="dxa" w:w="100"/>
              <w:bottom w:type="dxa" w:w="60"/>
              <w:right w:type="dxa" w:w="100"/>
            </w:tcMar>
          </w:tcPr>
          <w:p>
            <w:pPr>
              <w:jc w:val="left"/>
            </w:pPr>
            <w:r>
              <w:rPr>
                <w:b w:val="false"/>
                <w:bCs w:val="false"/>
                <w:sz w:val="20"/>
                <w:szCs w:val="20"/>
              </w:rPr>
              <w:t xml:space="preserve">Round 2</w:t>
            </w:r>
          </w:p>
        </w:tc>
        <w:tc>
          <w:tcPr>
            <w:tcW w:type="dxa" w:w="4300"/>
            <w:shd w:fill="F2F2F2" w:val="clear"/>
            <w:tcMar>
              <w:top w:type="dxa" w:w="60"/>
              <w:left w:type="dxa" w:w="100"/>
              <w:bottom w:type="dxa" w:w="60"/>
              <w:right w:type="dxa" w:w="100"/>
            </w:tcMar>
          </w:tcPr>
          <w:p>
            <w:pPr>
              <w:jc w:val="left"/>
            </w:pPr>
            <w:r>
              <w:rPr>
                <w:b w:val="false"/>
                <w:bCs w:val="false"/>
                <w:sz w:val="20"/>
                <w:szCs w:val="20"/>
              </w:rPr>
              <w:t xml:space="preserve">Re-ran BindCraft with the corrected hotspot and patched target</w:t>
            </w:r>
          </w:p>
        </w:tc>
        <w:tc>
          <w:tcPr>
            <w:tcW w:type="dxa" w:w="4300"/>
            <w:shd w:fill="F2F2F2" w:val="clear"/>
            <w:tcMar>
              <w:top w:type="dxa" w:w="60"/>
              <w:left w:type="dxa" w:w="100"/>
              <w:bottom w:type="dxa" w:w="60"/>
              <w:right w:type="dxa" w:w="100"/>
            </w:tcMar>
          </w:tcPr>
          <w:p>
            <w:pPr>
              <w:jc w:val="left"/>
            </w:pPr>
            <w:r>
              <w:rPr>
                <w:b w:val="false"/>
                <w:bCs w:val="false"/>
                <w:sz w:val="20"/>
                <w:szCs w:val="20"/>
              </w:rPr>
              <w:t xml:space="preserve">Design PIB2_l112_s720003 (mpnn1/mpnn2) covered Trp378 (~3.4 Å) but Val381 remained &gt;10 Å away in all 5 independent AlphaFold-Multimer models tested. Judged a partial / non-functional coverage. Rejected as a final candidate.</w:t>
            </w:r>
          </w:p>
        </w:tc>
      </w:tr>
      <w:tr>
        <w:tc>
          <w:tcPr>
            <w:tcW w:type="dxa" w:w="1400"/>
            <w:tcMar>
              <w:top w:type="dxa" w:w="60"/>
              <w:left w:type="dxa" w:w="100"/>
              <w:bottom w:type="dxa" w:w="60"/>
              <w:right w:type="dxa" w:w="100"/>
            </w:tcMar>
          </w:tcPr>
          <w:p>
            <w:pPr>
              <w:jc w:val="left"/>
            </w:pPr>
            <w:r>
              <w:rPr>
                <w:b w:val="false"/>
                <w:bCs w:val="false"/>
                <w:sz w:val="20"/>
                <w:szCs w:val="20"/>
              </w:rPr>
              <w:t xml:space="preserve">Round 3</w:t>
            </w:r>
          </w:p>
        </w:tc>
        <w:tc>
          <w:tcPr>
            <w:tcW w:type="dxa" w:w="4300"/>
            <w:tcMar>
              <w:top w:type="dxa" w:w="60"/>
              <w:left w:type="dxa" w:w="100"/>
              <w:bottom w:type="dxa" w:w="60"/>
              <w:right w:type="dxa" w:w="100"/>
            </w:tcMar>
          </w:tcPr>
          <w:p>
            <w:pPr>
              <w:jc w:val="left"/>
            </w:pPr>
            <w:r>
              <w:rPr>
                <w:b w:val="false"/>
                <w:bCs w:val="false"/>
                <w:sz w:val="20"/>
                <w:szCs w:val="20"/>
              </w:rPr>
              <w:t xml:space="preserve">Further batches with relaxed_filters + HardTarget prediction protocol, hotspot A377-381</w:t>
            </w:r>
          </w:p>
        </w:tc>
        <w:tc>
          <w:tcPr>
            <w:tcW w:type="dxa" w:w="4300"/>
            <w:tcMar>
              <w:top w:type="dxa" w:w="60"/>
              <w:left w:type="dxa" w:w="100"/>
              <w:bottom w:type="dxa" w:w="60"/>
              <w:right w:type="dxa" w:w="100"/>
            </w:tcMar>
          </w:tcPr>
          <w:p>
            <w:pPr>
              <w:jc w:val="left"/>
            </w:pPr>
            <w:r>
              <w:rPr>
                <w:b w:val="false"/>
                <w:bCs w:val="false"/>
                <w:sz w:val="20"/>
                <w:szCs w:val="20"/>
              </w:rPr>
              <w:t xml:space="preserve">Multiple trajectories failed (severe clashes, unmet filter conditions, base AF2 filters not passed). One design, PIB2_l106_s877252_mpnn15, passed all filters.</w:t>
            </w:r>
          </w:p>
        </w:tc>
      </w:tr>
      <w:tr>
        <w:tc>
          <w:tcPr>
            <w:tcW w:type="dxa" w:w="1400"/>
            <w:shd w:fill="F2F2F2" w:val="clear"/>
            <w:tcMar>
              <w:top w:type="dxa" w:w="60"/>
              <w:left w:type="dxa" w:w="100"/>
              <w:bottom w:type="dxa" w:w="60"/>
              <w:right w:type="dxa" w:w="100"/>
            </w:tcMar>
          </w:tcPr>
          <w:p>
            <w:pPr>
              <w:jc w:val="left"/>
            </w:pPr>
            <w:r>
              <w:rPr>
                <w:b w:val="false"/>
                <w:bCs w:val="false"/>
                <w:sz w:val="20"/>
                <w:szCs w:val="20"/>
              </w:rPr>
              <w:t xml:space="preserve">Validation</w:t>
            </w:r>
          </w:p>
        </w:tc>
        <w:tc>
          <w:tcPr>
            <w:tcW w:type="dxa" w:w="4300"/>
            <w:shd w:fill="F2F2F2" w:val="clear"/>
            <w:tcMar>
              <w:top w:type="dxa" w:w="60"/>
              <w:left w:type="dxa" w:w="100"/>
              <w:bottom w:type="dxa" w:w="60"/>
              <w:right w:type="dxa" w:w="100"/>
            </w:tcMar>
          </w:tcPr>
          <w:p>
            <w:pPr>
              <w:jc w:val="left"/>
            </w:pPr>
            <w:r>
              <w:rPr>
                <w:b w:val="false"/>
                <w:bCs w:val="false"/>
                <w:sz w:val="20"/>
                <w:szCs w:val="20"/>
              </w:rPr>
              <w:t xml:space="preserve">PIB2_l106_s877252_mpnn15 checked against both anchors, then independently re-predicted as 5 separate AlphaFold-Multimer models and relaxed with Amber</w:t>
            </w:r>
          </w:p>
        </w:tc>
        <w:tc>
          <w:tcPr>
            <w:tcW w:type="dxa" w:w="4300"/>
            <w:shd w:fill="F2F2F2" w:val="clear"/>
            <w:tcMar>
              <w:top w:type="dxa" w:w="60"/>
              <w:left w:type="dxa" w:w="100"/>
              <w:bottom w:type="dxa" w:w="60"/>
              <w:right w:type="dxa" w:w="100"/>
            </w:tcMar>
          </w:tcPr>
          <w:p>
            <w:pPr>
              <w:jc w:val="left"/>
            </w:pPr>
            <w:r>
              <w:rPr>
                <w:b w:val="false"/>
                <w:bCs w:val="false"/>
                <w:sz w:val="20"/>
                <w:szCs w:val="20"/>
              </w:rPr>
              <w:t xml:space="preserve">Both Trp378 and Val381 contacted in all 5 models, before and after relaxation, with no clashes after relaxation. Selected as the project's lead candidate.</w:t>
            </w:r>
          </w:p>
        </w:tc>
      </w:tr>
    </w:tbl>
    <w:p>
      <w:pPr>
        <w:spacing w:after="200"/>
      </w:pPr>
    </w:p>
    <w:p>
      <w:pPr>
        <w:pStyle w:val="Heading1"/>
        <w:spacing w:after="150" w:before="300"/>
      </w:pPr>
      <w:r>
        <w:t xml:space="preserve">4. Final Candidate: PIB2_l106_s877252_mpnn15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D9E2F3" w:val="clear"/>
            <w:tcMar>
              <w:top w:type="dxa" w:w="60"/>
              <w:left w:type="dxa" w:w="100"/>
              <w:bottom w:type="dxa" w:w="60"/>
              <w:right w:type="dxa" w:w="100"/>
            </w:tcMar>
          </w:tcPr>
          <w:p>
            <w:pPr>
              <w:jc w:val="left"/>
            </w:pPr>
            <w:r>
              <w:rPr>
                <w:b/>
                <w:bCs/>
                <w:sz w:val="20"/>
                <w:szCs w:val="20"/>
              </w:rPr>
              <w:t xml:space="preserve">Field</w:t>
            </w:r>
          </w:p>
        </w:tc>
        <w:tc>
          <w:tcPr>
            <w:tcW w:type="dxa" w:w="6800"/>
            <w:shd w:fill="D9E2F3" w:val="clear"/>
            <w:tcMar>
              <w:top w:type="dxa" w:w="60"/>
              <w:left w:type="dxa" w:w="100"/>
              <w:bottom w:type="dxa" w:w="60"/>
              <w:right w:type="dxa" w:w="100"/>
            </w:tcMar>
          </w:tcPr>
          <w:p>
            <w:pPr>
              <w:jc w:val="left"/>
            </w:pPr>
            <w:r>
              <w:rPr>
                <w:b/>
                <w:bCs/>
                <w:sz w:val="20"/>
                <w:szCs w:val="20"/>
              </w:rPr>
              <w:t xml:space="preserve">Value</w:t>
            </w:r>
          </w:p>
        </w:tc>
      </w:tr>
      <w:tr>
        <w:tc>
          <w:tcPr>
            <w:tcW w:type="dxa" w:w="3200"/>
            <w:tcMar>
              <w:top w:type="dxa" w:w="60"/>
              <w:left w:type="dxa" w:w="100"/>
              <w:bottom w:type="dxa" w:w="60"/>
              <w:right w:type="dxa" w:w="100"/>
            </w:tcMar>
          </w:tcPr>
          <w:p>
            <w:pPr>
              <w:jc w:val="left"/>
            </w:pPr>
            <w:r>
              <w:rPr>
                <w:b w:val="false"/>
                <w:bCs w:val="false"/>
                <w:sz w:val="20"/>
                <w:szCs w:val="20"/>
              </w:rPr>
              <w:t xml:space="preserve">Design ID</w:t>
            </w:r>
          </w:p>
        </w:tc>
        <w:tc>
          <w:tcPr>
            <w:tcW w:type="dxa" w:w="6800"/>
            <w:tcMar>
              <w:top w:type="dxa" w:w="60"/>
              <w:left w:type="dxa" w:w="100"/>
              <w:bottom w:type="dxa" w:w="60"/>
              <w:right w:type="dxa" w:w="100"/>
            </w:tcMar>
          </w:tcPr>
          <w:p>
            <w:pPr>
              <w:jc w:val="left"/>
            </w:pPr>
            <w:r>
              <w:rPr>
                <w:b w:val="false"/>
                <w:bCs w:val="false"/>
                <w:sz w:val="20"/>
                <w:szCs w:val="20"/>
              </w:rPr>
              <w:t xml:space="preserve">PIB2_l106_s877252_mpnn15</w:t>
            </w:r>
          </w:p>
        </w:tc>
      </w:tr>
      <w:tr>
        <w:tc>
          <w:tcPr>
            <w:tcW w:type="dxa" w:w="3200"/>
            <w:shd w:fill="F2F2F2" w:val="clear"/>
            <w:tcMar>
              <w:top w:type="dxa" w:w="60"/>
              <w:left w:type="dxa" w:w="100"/>
              <w:bottom w:type="dxa" w:w="60"/>
              <w:right w:type="dxa" w:w="100"/>
            </w:tcMar>
          </w:tcPr>
          <w:p>
            <w:pPr>
              <w:jc w:val="left"/>
            </w:pPr>
            <w:r>
              <w:rPr>
                <w:b w:val="false"/>
                <w:bCs w:val="false"/>
                <w:sz w:val="20"/>
                <w:szCs w:val="20"/>
              </w:rPr>
              <w:t xml:space="preserve">Binder length</w:t>
            </w:r>
          </w:p>
        </w:tc>
        <w:tc>
          <w:tcPr>
            <w:tcW w:type="dxa" w:w="6800"/>
            <w:shd w:fill="F2F2F2" w:val="clear"/>
            <w:tcMar>
              <w:top w:type="dxa" w:w="60"/>
              <w:left w:type="dxa" w:w="100"/>
              <w:bottom w:type="dxa" w:w="60"/>
              <w:right w:type="dxa" w:w="100"/>
            </w:tcMar>
          </w:tcPr>
          <w:p>
            <w:pPr>
              <w:jc w:val="left"/>
            </w:pPr>
            <w:r>
              <w:rPr>
                <w:b w:val="false"/>
                <w:bCs w:val="false"/>
                <w:sz w:val="20"/>
                <w:szCs w:val="20"/>
              </w:rPr>
              <w:t xml:space="preserve">106 residues</w:t>
            </w:r>
          </w:p>
        </w:tc>
      </w:tr>
      <w:tr>
        <w:tc>
          <w:tcPr>
            <w:tcW w:type="dxa" w:w="3200"/>
            <w:tcMar>
              <w:top w:type="dxa" w:w="60"/>
              <w:left w:type="dxa" w:w="100"/>
              <w:bottom w:type="dxa" w:w="60"/>
              <w:right w:type="dxa" w:w="100"/>
            </w:tcMar>
          </w:tcPr>
          <w:p>
            <w:pPr>
              <w:jc w:val="left"/>
            </w:pPr>
            <w:r>
              <w:rPr>
                <w:b w:val="false"/>
                <w:bCs w:val="false"/>
                <w:sz w:val="20"/>
                <w:szCs w:val="20"/>
              </w:rPr>
              <w:t xml:space="preserve">Origin</w:t>
            </w:r>
          </w:p>
        </w:tc>
        <w:tc>
          <w:tcPr>
            <w:tcW w:type="dxa" w:w="6800"/>
            <w:tcMar>
              <w:top w:type="dxa" w:w="60"/>
              <w:left w:type="dxa" w:w="100"/>
              <w:bottom w:type="dxa" w:w="60"/>
              <w:right w:type="dxa" w:w="100"/>
            </w:tcMar>
          </w:tcPr>
          <w:p>
            <w:pPr>
              <w:jc w:val="left"/>
            </w:pPr>
            <w:r>
              <w:rPr>
                <w:b w:val="false"/>
                <w:bCs w:val="false"/>
                <w:sz w:val="20"/>
                <w:szCs w:val="20"/>
              </w:rPr>
              <w:t xml:space="preserve">BindCraft trajectory l106_s877252, ProteinMPNN sequence #15, passed all relaxed_filters</w:t>
            </w:r>
          </w:p>
        </w:tc>
      </w:tr>
    </w:tbl>
    <w:p>
      <w:pPr>
        <w:spacing w:after="150"/>
      </w:pPr>
    </w:p>
    <w:p>
      <w:pPr>
        <w:pStyle w:val="Heading2"/>
        <w:spacing w:after="120" w:before="250"/>
      </w:pPr>
      <w:r>
        <w:t xml:space="preserve">Binder sequence (chain B)</w:t>
      </w:r>
    </w:p>
    <w:p>
      <w:pPr>
        <w:spacing w:after="120"/>
      </w:pPr>
      <w:r>
        <w:rPr>
          <w:rFonts w:ascii="Consolas" w:cs="Consolas" w:eastAsia="Consolas" w:hAnsi="Consolas"/>
          <w:sz w:val="18"/>
          <w:szCs w:val="18"/>
        </w:rPr>
        <w:t xml:space="preserve">GIQEFKELYRKLTKKQRRKVNDDMRWVYMWFMWEKRTHPNGKMYKELKKMFEKFAKKVVELLKGVEKPSEEQLEEISEIFKKIFMEYMKKYAPKWEVEHWEEMFNM</w:t>
      </w:r>
    </w:p>
    <w:p>
      <w:pPr>
        <w:pStyle w:val="Heading2"/>
        <w:spacing w:after="120" w:before="250"/>
      </w:pPr>
      <w:r>
        <w:t xml:space="preserve">Target sequence used (chain A, Lysine-patched)</w:t>
      </w:r>
    </w:p>
    <w:p>
      <w:pPr>
        <w:spacing w:after="120"/>
      </w:pPr>
      <w:r>
        <w:rPr>
          <w:rFonts w:ascii="Consolas" w:cs="Consolas" w:eastAsia="Consolas" w:hAnsi="Consolas"/>
          <w:sz w:val="18"/>
          <w:szCs w:val="18"/>
        </w:rPr>
        <w:t xml:space="preserve">KKKKKKKKKKKKKKKKKKKKKKKKKKKKKKKKKKKKKKKKLNLWLRYTQTYRDKIDKNAFSDAEALQFFRKAKPLDFDWEIV</w:t>
      </w:r>
    </w:p>
    <w:p>
      <w:pPr>
        <w:spacing w:after="120"/>
      </w:pPr>
      <w:r>
        <w:rPr>
          <w:i/>
          <w:iCs/>
          <w:sz w:val="20"/>
          <w:szCs w:val="20"/>
        </w:rPr>
        <w:t xml:space="preserve">Residues 300-339 (positions 1-40 in this local numbering) were mutated to Lysine as a negative-design measure; residues 340-381 (the native AIM-motif-containing region) were left unmodified.</w:t>
      </w:r>
    </w:p>
    <w:p>
      <w:pPr>
        <w:pStyle w:val="Heading1"/>
        <w:spacing w:after="150" w:before="300"/>
      </w:pPr>
      <w:r>
        <w:t xml:space="preserve">5. Validation Results</w:t>
      </w:r>
    </w:p>
    <w:p>
      <w:pPr>
        <w:spacing w:after="120"/>
      </w:pPr>
      <w:r>
        <w:t xml:space="preserve">Every figure in this section marked "independently verified" was recomputed directly from the raw structure files by re-running the analysis in this project (in both Python and, for cross-validation, R), not taken on trust from any external report.</w:t>
      </w:r>
    </w:p>
    <w:p>
      <w:pPr>
        <w:pStyle w:val="Heading2"/>
        <w:spacing w:after="120" w:before="250"/>
      </w:pPr>
      <w:r>
        <w:t xml:space="preserve">5.1 Anchor residue contacts — 5-model AlphaFold-Multimer ensemble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1400"/>
      </w:tblGrid>
      <w:tr>
        <w:trPr>
          <w:tblHeader/>
        </w:trPr>
        <w:tc>
          <w:tcPr>
            <w:tcW w:type="dxa" w:w="2600"/>
            <w:shd w:fill="D9E2F3" w:val="clear"/>
            <w:tcMar>
              <w:top w:type="dxa" w:w="60"/>
              <w:left w:type="dxa" w:w="100"/>
              <w:bottom w:type="dxa" w:w="60"/>
              <w:right w:type="dxa" w:w="100"/>
            </w:tcMar>
          </w:tcPr>
          <w:p>
            <w:pPr>
              <w:jc w:val="left"/>
            </w:pPr>
            <w:r>
              <w:rPr>
                <w:b/>
                <w:bCs/>
                <w:sz w:val="20"/>
                <w:szCs w:val="20"/>
              </w:rPr>
              <w:t xml:space="preserve">Model</w:t>
            </w:r>
          </w:p>
        </w:tc>
        <w:tc>
          <w:tcPr>
            <w:tcW w:type="dxa" w:w="2800"/>
            <w:shd w:fill="D9E2F3" w:val="clear"/>
            <w:tcMar>
              <w:top w:type="dxa" w:w="60"/>
              <w:left w:type="dxa" w:w="100"/>
              <w:bottom w:type="dxa" w:w="60"/>
              <w:right w:type="dxa" w:w="100"/>
            </w:tcMar>
          </w:tcPr>
          <w:p>
            <w:pPr>
              <w:jc w:val="left"/>
            </w:pPr>
            <w:r>
              <w:rPr>
                <w:b/>
                <w:bCs/>
                <w:sz w:val="20"/>
                <w:szCs w:val="20"/>
              </w:rPr>
              <w:t xml:space="preserve">Trp378 distance</w:t>
            </w:r>
          </w:p>
        </w:tc>
        <w:tc>
          <w:tcPr>
            <w:tcW w:type="dxa" w:w="2800"/>
            <w:shd w:fill="D9E2F3" w:val="clear"/>
            <w:tcMar>
              <w:top w:type="dxa" w:w="60"/>
              <w:left w:type="dxa" w:w="100"/>
              <w:bottom w:type="dxa" w:w="60"/>
              <w:right w:type="dxa" w:w="100"/>
            </w:tcMar>
          </w:tcPr>
          <w:p>
            <w:pPr>
              <w:jc w:val="left"/>
            </w:pPr>
            <w:r>
              <w:rPr>
                <w:b/>
                <w:bCs/>
                <w:sz w:val="20"/>
                <w:szCs w:val="20"/>
              </w:rPr>
              <w:t xml:space="preserve">Val381 distance</w:t>
            </w:r>
          </w:p>
        </w:tc>
        <w:tc>
          <w:tcPr>
            <w:tcW w:type="dxa" w:w="1400"/>
            <w:shd w:fill="D9E2F3" w:val="clear"/>
            <w:tcMar>
              <w:top w:type="dxa" w:w="60"/>
              <w:left w:type="dxa" w:w="100"/>
              <w:bottom w:type="dxa" w:w="60"/>
              <w:right w:type="dxa" w:w="100"/>
            </w:tcMar>
          </w:tcPr>
          <w:p>
            <w:pPr>
              <w:jc w:val="left"/>
            </w:pPr>
            <w:r>
              <w:rPr>
                <w:b/>
                <w:bCs/>
                <w:sz w:val="20"/>
                <w:szCs w:val="20"/>
              </w:rPr>
              <w:t xml:space="preserve">Relaxation</w:t>
            </w:r>
          </w:p>
        </w:tc>
      </w:tr>
      <w:tr>
        <w:tc>
          <w:tcPr>
            <w:tcW w:type="dxa" w:w="2600"/>
            <w:tcMar>
              <w:top w:type="dxa" w:w="60"/>
              <w:left w:type="dxa" w:w="100"/>
              <w:bottom w:type="dxa" w:w="60"/>
              <w:right w:type="dxa" w:w="100"/>
            </w:tcMar>
          </w:tcPr>
          <w:p>
            <w:pPr>
              <w:jc w:val="left"/>
            </w:pPr>
            <w:r>
              <w:rPr>
                <w:b w:val="false"/>
                <w:bCs w:val="false"/>
                <w:sz w:val="20"/>
                <w:szCs w:val="20"/>
              </w:rPr>
              <w:t xml:space="preserve">rank_001 / model_5</w:t>
            </w:r>
          </w:p>
        </w:tc>
        <w:tc>
          <w:tcPr>
            <w:tcW w:type="dxa" w:w="2800"/>
            <w:tcMar>
              <w:top w:type="dxa" w:w="60"/>
              <w:left w:type="dxa" w:w="100"/>
              <w:bottom w:type="dxa" w:w="60"/>
              <w:right w:type="dxa" w:w="100"/>
            </w:tcMar>
          </w:tcPr>
          <w:p>
            <w:pPr>
              <w:jc w:val="left"/>
            </w:pPr>
            <w:r>
              <w:rPr>
                <w:b w:val="false"/>
                <w:bCs w:val="false"/>
                <w:sz w:val="20"/>
                <w:szCs w:val="20"/>
              </w:rPr>
              <w:t xml:space="preserve">2.21 Å (unrelaxed) → 3.02 Å</w:t>
            </w:r>
          </w:p>
        </w:tc>
        <w:tc>
          <w:tcPr>
            <w:tcW w:type="dxa" w:w="2800"/>
            <w:tcMar>
              <w:top w:type="dxa" w:w="60"/>
              <w:left w:type="dxa" w:w="100"/>
              <w:bottom w:type="dxa" w:w="60"/>
              <w:right w:type="dxa" w:w="100"/>
            </w:tcMar>
          </w:tcPr>
          <w:p>
            <w:pPr>
              <w:jc w:val="left"/>
            </w:pPr>
            <w:r>
              <w:rPr>
                <w:b w:val="false"/>
                <w:bCs w:val="false"/>
                <w:sz w:val="20"/>
                <w:szCs w:val="20"/>
              </w:rPr>
              <w:t xml:space="preserve">2.49 Å (unrelaxed) → 2.64 Å</w:t>
            </w:r>
          </w:p>
        </w:tc>
        <w:tc>
          <w:tcPr>
            <w:tcW w:type="dxa" w:w="1400"/>
            <w:tcMar>
              <w:top w:type="dxa" w:w="60"/>
              <w:left w:type="dxa" w:w="100"/>
              <w:bottom w:type="dxa" w:w="60"/>
              <w:right w:type="dxa" w:w="100"/>
            </w:tcMar>
          </w:tcPr>
          <w:p>
            <w:pPr>
              <w:jc w:val="left"/>
            </w:pPr>
            <w:r>
              <w:rPr>
                <w:b w:val="false"/>
                <w:bCs w:val="false"/>
                <w:sz w:val="20"/>
                <w:szCs w:val="20"/>
              </w:rPr>
              <w:t xml:space="preserve">Amber</w:t>
            </w:r>
          </w:p>
        </w:tc>
      </w:tr>
      <w:tr>
        <w:tc>
          <w:tcPr>
            <w:tcW w:type="dxa" w:w="2600"/>
            <w:shd w:fill="F2F2F2" w:val="clear"/>
            <w:tcMar>
              <w:top w:type="dxa" w:w="60"/>
              <w:left w:type="dxa" w:w="100"/>
              <w:bottom w:type="dxa" w:w="60"/>
              <w:right w:type="dxa" w:w="100"/>
            </w:tcMar>
          </w:tcPr>
          <w:p>
            <w:pPr>
              <w:jc w:val="left"/>
            </w:pPr>
            <w:r>
              <w:rPr>
                <w:b w:val="false"/>
                <w:bCs w:val="false"/>
                <w:sz w:val="20"/>
                <w:szCs w:val="20"/>
              </w:rPr>
              <w:t xml:space="preserve">rank_002 / model_4</w:t>
            </w:r>
          </w:p>
        </w:tc>
        <w:tc>
          <w:tcPr>
            <w:tcW w:type="dxa" w:w="2800"/>
            <w:shd w:fill="F2F2F2" w:val="clear"/>
            <w:tcMar>
              <w:top w:type="dxa" w:w="60"/>
              <w:left w:type="dxa" w:w="100"/>
              <w:bottom w:type="dxa" w:w="60"/>
              <w:right w:type="dxa" w:w="100"/>
            </w:tcMar>
          </w:tcPr>
          <w:p>
            <w:pPr>
              <w:jc w:val="left"/>
            </w:pPr>
            <w:r>
              <w:rPr>
                <w:b w:val="false"/>
                <w:bCs w:val="false"/>
                <w:sz w:val="20"/>
                <w:szCs w:val="20"/>
              </w:rPr>
              <w:t xml:space="preserve">2.50 Å → 2.80 Å</w:t>
            </w:r>
          </w:p>
        </w:tc>
        <w:tc>
          <w:tcPr>
            <w:tcW w:type="dxa" w:w="2800"/>
            <w:shd w:fill="F2F2F2" w:val="clear"/>
            <w:tcMar>
              <w:top w:type="dxa" w:w="60"/>
              <w:left w:type="dxa" w:w="100"/>
              <w:bottom w:type="dxa" w:w="60"/>
              <w:right w:type="dxa" w:w="100"/>
            </w:tcMar>
          </w:tcPr>
          <w:p>
            <w:pPr>
              <w:jc w:val="left"/>
            </w:pPr>
            <w:r>
              <w:rPr>
                <w:b w:val="false"/>
                <w:bCs w:val="false"/>
                <w:sz w:val="20"/>
                <w:szCs w:val="20"/>
              </w:rPr>
              <w:t xml:space="preserve">3.52 Å → 3.09 Å</w:t>
            </w:r>
          </w:p>
        </w:tc>
        <w:tc>
          <w:tcPr>
            <w:tcW w:type="dxa" w:w="1400"/>
            <w:shd w:fill="F2F2F2" w:val="clear"/>
            <w:tcMar>
              <w:top w:type="dxa" w:w="60"/>
              <w:left w:type="dxa" w:w="100"/>
              <w:bottom w:type="dxa" w:w="60"/>
              <w:right w:type="dxa" w:w="100"/>
            </w:tcMar>
          </w:tcPr>
          <w:p>
            <w:pPr>
              <w:jc w:val="left"/>
            </w:pPr>
            <w:r>
              <w:rPr>
                <w:b w:val="false"/>
                <w:bCs w:val="false"/>
                <w:sz w:val="20"/>
                <w:szCs w:val="20"/>
              </w:rPr>
              <w:t xml:space="preserve">Amber</w:t>
            </w:r>
          </w:p>
        </w:tc>
      </w:tr>
      <w:tr>
        <w:tc>
          <w:tcPr>
            <w:tcW w:type="dxa" w:w="2600"/>
            <w:tcMar>
              <w:top w:type="dxa" w:w="60"/>
              <w:left w:type="dxa" w:w="100"/>
              <w:bottom w:type="dxa" w:w="60"/>
              <w:right w:type="dxa" w:w="100"/>
            </w:tcMar>
          </w:tcPr>
          <w:p>
            <w:pPr>
              <w:jc w:val="left"/>
            </w:pPr>
            <w:r>
              <w:rPr>
                <w:b w:val="false"/>
                <w:bCs w:val="false"/>
                <w:sz w:val="20"/>
                <w:szCs w:val="20"/>
              </w:rPr>
              <w:t xml:space="preserve">rank_003 / model_3</w:t>
            </w:r>
          </w:p>
        </w:tc>
        <w:tc>
          <w:tcPr>
            <w:tcW w:type="dxa" w:w="2800"/>
            <w:tcMar>
              <w:top w:type="dxa" w:w="60"/>
              <w:left w:type="dxa" w:w="100"/>
              <w:bottom w:type="dxa" w:w="60"/>
              <w:right w:type="dxa" w:w="100"/>
            </w:tcMar>
          </w:tcPr>
          <w:p>
            <w:pPr>
              <w:jc w:val="left"/>
            </w:pPr>
            <w:r>
              <w:rPr>
                <w:b w:val="false"/>
                <w:bCs w:val="false"/>
                <w:sz w:val="20"/>
                <w:szCs w:val="20"/>
              </w:rPr>
              <w:t xml:space="preserve">2.28 Å → 2.79 Å</w:t>
            </w:r>
          </w:p>
        </w:tc>
        <w:tc>
          <w:tcPr>
            <w:tcW w:type="dxa" w:w="2800"/>
            <w:tcMar>
              <w:top w:type="dxa" w:w="60"/>
              <w:left w:type="dxa" w:w="100"/>
              <w:bottom w:type="dxa" w:w="60"/>
              <w:right w:type="dxa" w:w="100"/>
            </w:tcMar>
          </w:tcPr>
          <w:p>
            <w:pPr>
              <w:jc w:val="left"/>
            </w:pPr>
            <w:r>
              <w:rPr>
                <w:b w:val="false"/>
                <w:bCs w:val="false"/>
                <w:sz w:val="20"/>
                <w:szCs w:val="20"/>
              </w:rPr>
              <w:t xml:space="preserve">3.38 Å → 3.43 Å</w:t>
            </w:r>
          </w:p>
        </w:tc>
        <w:tc>
          <w:tcPr>
            <w:tcW w:type="dxa" w:w="1400"/>
            <w:tcMar>
              <w:top w:type="dxa" w:w="60"/>
              <w:left w:type="dxa" w:w="100"/>
              <w:bottom w:type="dxa" w:w="60"/>
              <w:right w:type="dxa" w:w="100"/>
            </w:tcMar>
          </w:tcPr>
          <w:p>
            <w:pPr>
              <w:jc w:val="left"/>
            </w:pPr>
            <w:r>
              <w:rPr>
                <w:b w:val="false"/>
                <w:bCs w:val="false"/>
                <w:sz w:val="20"/>
                <w:szCs w:val="20"/>
              </w:rPr>
              <w:t xml:space="preserve">Amber</w:t>
            </w:r>
          </w:p>
        </w:tc>
      </w:tr>
      <w:tr>
        <w:tc>
          <w:tcPr>
            <w:tcW w:type="dxa" w:w="2600"/>
            <w:shd w:fill="F2F2F2" w:val="clear"/>
            <w:tcMar>
              <w:top w:type="dxa" w:w="60"/>
              <w:left w:type="dxa" w:w="100"/>
              <w:bottom w:type="dxa" w:w="60"/>
              <w:right w:type="dxa" w:w="100"/>
            </w:tcMar>
          </w:tcPr>
          <w:p>
            <w:pPr>
              <w:jc w:val="left"/>
            </w:pPr>
            <w:r>
              <w:rPr>
                <w:b w:val="false"/>
                <w:bCs w:val="false"/>
                <w:sz w:val="20"/>
                <w:szCs w:val="20"/>
              </w:rPr>
              <w:t xml:space="preserve">rank_004 / model_1</w:t>
            </w:r>
          </w:p>
        </w:tc>
        <w:tc>
          <w:tcPr>
            <w:tcW w:type="dxa" w:w="2800"/>
            <w:shd w:fill="F2F2F2" w:val="clear"/>
            <w:tcMar>
              <w:top w:type="dxa" w:w="60"/>
              <w:left w:type="dxa" w:w="100"/>
              <w:bottom w:type="dxa" w:w="60"/>
              <w:right w:type="dxa" w:w="100"/>
            </w:tcMar>
          </w:tcPr>
          <w:p>
            <w:pPr>
              <w:jc w:val="left"/>
            </w:pPr>
            <w:r>
              <w:rPr>
                <w:b w:val="false"/>
                <w:bCs w:val="false"/>
                <w:sz w:val="20"/>
                <w:szCs w:val="20"/>
              </w:rPr>
              <w:t xml:space="preserve">2.70 Å → 2.95 Å</w:t>
            </w:r>
          </w:p>
        </w:tc>
        <w:tc>
          <w:tcPr>
            <w:tcW w:type="dxa" w:w="2800"/>
            <w:shd w:fill="F2F2F2" w:val="clear"/>
            <w:tcMar>
              <w:top w:type="dxa" w:w="60"/>
              <w:left w:type="dxa" w:w="100"/>
              <w:bottom w:type="dxa" w:w="60"/>
              <w:right w:type="dxa" w:w="100"/>
            </w:tcMar>
          </w:tcPr>
          <w:p>
            <w:pPr>
              <w:jc w:val="left"/>
            </w:pPr>
            <w:r>
              <w:rPr>
                <w:b w:val="false"/>
                <w:bCs w:val="false"/>
                <w:sz w:val="20"/>
                <w:szCs w:val="20"/>
              </w:rPr>
              <w:t xml:space="preserve">3.30 Å → 3.22 Å</w:t>
            </w:r>
          </w:p>
        </w:tc>
        <w:tc>
          <w:tcPr>
            <w:tcW w:type="dxa" w:w="1400"/>
            <w:shd w:fill="F2F2F2" w:val="clear"/>
            <w:tcMar>
              <w:top w:type="dxa" w:w="60"/>
              <w:left w:type="dxa" w:w="100"/>
              <w:bottom w:type="dxa" w:w="60"/>
              <w:right w:type="dxa" w:w="100"/>
            </w:tcMar>
          </w:tcPr>
          <w:p>
            <w:pPr>
              <w:jc w:val="left"/>
            </w:pPr>
            <w:r>
              <w:rPr>
                <w:b w:val="false"/>
                <w:bCs w:val="false"/>
                <w:sz w:val="20"/>
                <w:szCs w:val="20"/>
              </w:rPr>
              <w:t xml:space="preserve">Amber</w:t>
            </w:r>
          </w:p>
        </w:tc>
      </w:tr>
      <w:tr>
        <w:tc>
          <w:tcPr>
            <w:tcW w:type="dxa" w:w="2600"/>
            <w:tcMar>
              <w:top w:type="dxa" w:w="60"/>
              <w:left w:type="dxa" w:w="100"/>
              <w:bottom w:type="dxa" w:w="60"/>
              <w:right w:type="dxa" w:w="100"/>
            </w:tcMar>
          </w:tcPr>
          <w:p>
            <w:pPr>
              <w:jc w:val="left"/>
            </w:pPr>
            <w:r>
              <w:rPr>
                <w:b w:val="false"/>
                <w:bCs w:val="false"/>
                <w:sz w:val="20"/>
                <w:szCs w:val="20"/>
              </w:rPr>
              <w:t xml:space="preserve">rank_005 / model_2</w:t>
            </w:r>
          </w:p>
        </w:tc>
        <w:tc>
          <w:tcPr>
            <w:tcW w:type="dxa" w:w="2800"/>
            <w:tcMar>
              <w:top w:type="dxa" w:w="60"/>
              <w:left w:type="dxa" w:w="100"/>
              <w:bottom w:type="dxa" w:w="60"/>
              <w:right w:type="dxa" w:w="100"/>
            </w:tcMar>
          </w:tcPr>
          <w:p>
            <w:pPr>
              <w:jc w:val="left"/>
            </w:pPr>
            <w:r>
              <w:rPr>
                <w:b w:val="false"/>
                <w:bCs w:val="false"/>
                <w:sz w:val="20"/>
                <w:szCs w:val="20"/>
              </w:rPr>
              <w:t xml:space="preserve">0.95 Å (apparent clash) → 2.82 Å</w:t>
            </w:r>
          </w:p>
        </w:tc>
        <w:tc>
          <w:tcPr>
            <w:tcW w:type="dxa" w:w="2800"/>
            <w:tcMar>
              <w:top w:type="dxa" w:w="60"/>
              <w:left w:type="dxa" w:w="100"/>
              <w:bottom w:type="dxa" w:w="60"/>
              <w:right w:type="dxa" w:w="100"/>
            </w:tcMar>
          </w:tcPr>
          <w:p>
            <w:pPr>
              <w:jc w:val="left"/>
            </w:pPr>
            <w:r>
              <w:rPr>
                <w:b w:val="false"/>
                <w:bCs w:val="false"/>
                <w:sz w:val="20"/>
                <w:szCs w:val="20"/>
              </w:rPr>
              <w:t xml:space="preserve">1.37 Å → 2.89 Å</w:t>
            </w:r>
          </w:p>
        </w:tc>
        <w:tc>
          <w:tcPr>
            <w:tcW w:type="dxa" w:w="1400"/>
            <w:tcMar>
              <w:top w:type="dxa" w:w="60"/>
              <w:left w:type="dxa" w:w="100"/>
              <w:bottom w:type="dxa" w:w="60"/>
              <w:right w:type="dxa" w:w="100"/>
            </w:tcMar>
          </w:tcPr>
          <w:p>
            <w:pPr>
              <w:jc w:val="left"/>
            </w:pPr>
            <w:r>
              <w:rPr>
                <w:b w:val="false"/>
                <w:bCs w:val="false"/>
                <w:sz w:val="20"/>
                <w:szCs w:val="20"/>
              </w:rPr>
              <w:t xml:space="preserve">Amber</w:t>
            </w:r>
          </w:p>
        </w:tc>
      </w:tr>
    </w:tbl>
    <w:p>
      <w:pPr>
        <w:spacing w:after="120"/>
      </w:pPr>
      <w:r>
        <w:rPr>
          <w:sz w:val="20"/>
          <w:szCs w:val="20"/>
        </w:rPr>
        <w:t xml:space="preserve">The one apparent steric clash (0.95 Å at Trp378 in the unrelaxed rank_005 model) resolved to a normal contact distance (3.02 Å) after Amber relaxation, confirming it was a modeling artifact rather than a real structural problem. After relaxation, both anchors are contacted in a consistent 2.6-3.4 Å range across all 5 independent models.</w:t>
      </w:r>
    </w:p>
    <w:p>
      <w:pPr>
        <w:pStyle w:val="Heading2"/>
        <w:spacing w:after="120" w:before="250"/>
      </w:pPr>
      <w:r>
        <w:t xml:space="preserve">5.2 Interface, sequence, and structural properties (independently verified)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200"/>
        <w:gridCol w:w="1800"/>
      </w:tblGrid>
      <w:tr>
        <w:trPr>
          <w:tblHeader/>
        </w:trPr>
        <w:tc>
          <w:tcPr>
            <w:tcW w:type="dxa" w:w="2600"/>
            <w:shd w:fill="D9E2F3" w:val="clear"/>
            <w:tcMar>
              <w:top w:type="dxa" w:w="60"/>
              <w:left w:type="dxa" w:w="100"/>
              <w:bottom w:type="dxa" w:w="60"/>
              <w:right w:type="dxa" w:w="100"/>
            </w:tcMar>
          </w:tcPr>
          <w:p>
            <w:pPr>
              <w:jc w:val="left"/>
            </w:pPr>
            <w:r>
              <w:rPr>
                <w:b/>
                <w:bCs/>
                <w:sz w:val="20"/>
                <w:szCs w:val="20"/>
              </w:rPr>
              <w:t xml:space="preserve">Metric</w:t>
            </w:r>
          </w:p>
        </w:tc>
        <w:tc>
          <w:tcPr>
            <w:tcW w:type="dxa" w:w="2000"/>
            <w:shd w:fill="D9E2F3" w:val="clear"/>
            <w:tcMar>
              <w:top w:type="dxa" w:w="60"/>
              <w:left w:type="dxa" w:w="100"/>
              <w:bottom w:type="dxa" w:w="60"/>
              <w:right w:type="dxa" w:w="100"/>
            </w:tcMar>
          </w:tcPr>
          <w:p>
            <w:pPr>
              <w:jc w:val="left"/>
            </w:pPr>
            <w:r>
              <w:rPr>
                <w:b/>
                <w:bCs/>
                <w:sz w:val="20"/>
                <w:szCs w:val="20"/>
              </w:rPr>
              <w:t xml:space="preserve">Value</w:t>
            </w:r>
          </w:p>
        </w:tc>
        <w:tc>
          <w:tcPr>
            <w:tcW w:type="dxa" w:w="3200"/>
            <w:shd w:fill="D9E2F3" w:val="clear"/>
            <w:tcMar>
              <w:top w:type="dxa" w:w="60"/>
              <w:left w:type="dxa" w:w="100"/>
              <w:bottom w:type="dxa" w:w="60"/>
              <w:right w:type="dxa" w:w="100"/>
            </w:tcMar>
          </w:tcPr>
          <w:p>
            <w:pPr>
              <w:jc w:val="left"/>
            </w:pPr>
            <w:r>
              <w:rPr>
                <w:b/>
                <w:bCs/>
                <w:sz w:val="20"/>
                <w:szCs w:val="20"/>
              </w:rPr>
              <w:t xml:space="preserve">Method / cutoff</w:t>
            </w:r>
          </w:p>
        </w:tc>
        <w:tc>
          <w:tcPr>
            <w:tcW w:type="dxa" w:w="1800"/>
            <w:shd w:fill="D9E2F3" w:val="clear"/>
            <w:tcMar>
              <w:top w:type="dxa" w:w="60"/>
              <w:left w:type="dxa" w:w="100"/>
              <w:bottom w:type="dxa" w:w="60"/>
              <w:right w:type="dxa" w:w="100"/>
            </w:tcMar>
          </w:tcPr>
          <w:p>
            <w:pPr>
              <w:jc w:val="left"/>
            </w:pPr>
            <w:r>
              <w:rPr>
                <w:b/>
                <w:bCs/>
                <w:sz w:val="20"/>
                <w:szCs w:val="20"/>
              </w:rPr>
              <w:t xml:space="preserve">Cross-checked in</w:t>
            </w:r>
          </w:p>
        </w:tc>
      </w:tr>
      <w:tr>
        <w:tc>
          <w:tcPr>
            <w:tcW w:type="dxa" w:w="2600"/>
            <w:tcMar>
              <w:top w:type="dxa" w:w="60"/>
              <w:left w:type="dxa" w:w="100"/>
              <w:bottom w:type="dxa" w:w="60"/>
              <w:right w:type="dxa" w:w="100"/>
            </w:tcMar>
          </w:tcPr>
          <w:p>
            <w:pPr>
              <w:jc w:val="left"/>
            </w:pPr>
            <w:r>
              <w:rPr>
                <w:b w:val="false"/>
                <w:bCs w:val="false"/>
                <w:sz w:val="20"/>
                <w:szCs w:val="20"/>
              </w:rPr>
              <w:t xml:space="preserve">Interface residue pairs</w:t>
            </w:r>
          </w:p>
        </w:tc>
        <w:tc>
          <w:tcPr>
            <w:tcW w:type="dxa" w:w="2000"/>
            <w:tcMar>
              <w:top w:type="dxa" w:w="60"/>
              <w:left w:type="dxa" w:w="100"/>
              <w:bottom w:type="dxa" w:w="60"/>
              <w:right w:type="dxa" w:w="100"/>
            </w:tcMar>
          </w:tcPr>
          <w:p>
            <w:pPr>
              <w:jc w:val="left"/>
            </w:pPr>
            <w:r>
              <w:rPr>
                <w:b w:val="false"/>
                <w:bCs w:val="false"/>
                <w:sz w:val="20"/>
                <w:szCs w:val="20"/>
              </w:rPr>
              <w:t xml:space="preserve">88</w:t>
            </w:r>
          </w:p>
        </w:tc>
        <w:tc>
          <w:tcPr>
            <w:tcW w:type="dxa" w:w="3200"/>
            <w:tcMar>
              <w:top w:type="dxa" w:w="60"/>
              <w:left w:type="dxa" w:w="100"/>
              <w:bottom w:type="dxa" w:w="60"/>
              <w:right w:type="dxa" w:w="100"/>
            </w:tcMar>
          </w:tcPr>
          <w:p>
            <w:pPr>
              <w:jc w:val="left"/>
            </w:pPr>
            <w:r>
              <w:rPr>
                <w:b w:val="false"/>
                <w:bCs w:val="false"/>
                <w:sz w:val="20"/>
                <w:szCs w:val="20"/>
              </w:rPr>
              <w:t xml:space="preserve">5.0 Å heavy-atom cutoff</w:t>
            </w:r>
          </w:p>
        </w:tc>
        <w:tc>
          <w:tcPr>
            <w:tcW w:type="dxa" w:w="1800"/>
            <w:tcMar>
              <w:top w:type="dxa" w:w="60"/>
              <w:left w:type="dxa" w:w="100"/>
              <w:bottom w:type="dxa" w:w="60"/>
              <w:right w:type="dxa" w:w="100"/>
            </w:tcMar>
          </w:tcPr>
          <w:p>
            <w:pPr>
              <w:jc w:val="left"/>
            </w:pPr>
            <w:r>
              <w:rPr>
                <w:b w:val="false"/>
                <w:bCs w:val="false"/>
                <w:sz w:val="20"/>
                <w:szCs w:val="20"/>
              </w:rPr>
              <w:t xml:space="preserve">Python + R (exact match)</w:t>
            </w:r>
          </w:p>
        </w:tc>
      </w:tr>
      <w:tr>
        <w:tc>
          <w:tcPr>
            <w:tcW w:type="dxa" w:w="2600"/>
            <w:shd w:fill="F2F2F2" w:val="clear"/>
            <w:tcMar>
              <w:top w:type="dxa" w:w="60"/>
              <w:left w:type="dxa" w:w="100"/>
              <w:bottom w:type="dxa" w:w="60"/>
              <w:right w:type="dxa" w:w="100"/>
            </w:tcMar>
          </w:tcPr>
          <w:p>
            <w:pPr>
              <w:jc w:val="left"/>
            </w:pPr>
            <w:r>
              <w:rPr>
                <w:b w:val="false"/>
                <w:bCs w:val="false"/>
                <w:sz w:val="20"/>
                <w:szCs w:val="20"/>
              </w:rPr>
              <w:t xml:space="preserve">Hydrogen bonds</w:t>
            </w:r>
          </w:p>
        </w:tc>
        <w:tc>
          <w:tcPr>
            <w:tcW w:type="dxa" w:w="2000"/>
            <w:shd w:fill="F2F2F2" w:val="clear"/>
            <w:tcMar>
              <w:top w:type="dxa" w:w="60"/>
              <w:left w:type="dxa" w:w="100"/>
              <w:bottom w:type="dxa" w:w="60"/>
              <w:right w:type="dxa" w:w="100"/>
            </w:tcMar>
          </w:tcPr>
          <w:p>
            <w:pPr>
              <w:jc w:val="left"/>
            </w:pPr>
            <w:r>
              <w:rPr>
                <w:b w:val="false"/>
                <w:bCs w:val="false"/>
                <w:sz w:val="20"/>
                <w:szCs w:val="20"/>
              </w:rPr>
              <w:t xml:space="preserve">9</w:t>
            </w:r>
          </w:p>
        </w:tc>
        <w:tc>
          <w:tcPr>
            <w:tcW w:type="dxa" w:w="3200"/>
            <w:shd w:fill="F2F2F2" w:val="clear"/>
            <w:tcMar>
              <w:top w:type="dxa" w:w="60"/>
              <w:left w:type="dxa" w:w="100"/>
              <w:bottom w:type="dxa" w:w="60"/>
              <w:right w:type="dxa" w:w="100"/>
            </w:tcMar>
          </w:tcPr>
          <w:p>
            <w:pPr>
              <w:jc w:val="left"/>
            </w:pPr>
            <w:r>
              <w:rPr>
                <w:b w:val="false"/>
                <w:bCs w:val="false"/>
                <w:sz w:val="20"/>
                <w:szCs w:val="20"/>
              </w:rPr>
              <w:t xml:space="preserve">N…O heavy-atom distance ≤ 3.5 Å, no angle filter</w:t>
            </w:r>
          </w:p>
        </w:tc>
        <w:tc>
          <w:tcPr>
            <w:tcW w:type="dxa" w:w="1800"/>
            <w:shd w:fill="F2F2F2" w:val="clear"/>
            <w:tcMar>
              <w:top w:type="dxa" w:w="60"/>
              <w:left w:type="dxa" w:w="100"/>
              <w:bottom w:type="dxa" w:w="60"/>
              <w:right w:type="dxa" w:w="100"/>
            </w:tcMar>
          </w:tcPr>
          <w:p>
            <w:pPr>
              <w:jc w:val="left"/>
            </w:pPr>
            <w:r>
              <w:rPr>
                <w:b w:val="false"/>
                <w:bCs w:val="false"/>
                <w:sz w:val="20"/>
                <w:szCs w:val="20"/>
              </w:rPr>
              <w:t xml:space="preserve">Python + R (exact match)</w:t>
            </w:r>
          </w:p>
        </w:tc>
      </w:tr>
      <w:tr>
        <w:tc>
          <w:tcPr>
            <w:tcW w:type="dxa" w:w="2600"/>
            <w:tcMar>
              <w:top w:type="dxa" w:w="60"/>
              <w:left w:type="dxa" w:w="100"/>
              <w:bottom w:type="dxa" w:w="60"/>
              <w:right w:type="dxa" w:w="100"/>
            </w:tcMar>
          </w:tcPr>
          <w:p>
            <w:pPr>
              <w:jc w:val="left"/>
            </w:pPr>
            <w:r>
              <w:rPr>
                <w:b w:val="false"/>
                <w:bCs w:val="false"/>
                <w:sz w:val="20"/>
                <w:szCs w:val="20"/>
              </w:rPr>
              <w:t xml:space="preserve">Salt bridges</w:t>
            </w:r>
          </w:p>
        </w:tc>
        <w:tc>
          <w:tcPr>
            <w:tcW w:type="dxa" w:w="2000"/>
            <w:tcMar>
              <w:top w:type="dxa" w:w="60"/>
              <w:left w:type="dxa" w:w="100"/>
              <w:bottom w:type="dxa" w:w="60"/>
              <w:right w:type="dxa" w:w="100"/>
            </w:tcMar>
          </w:tcPr>
          <w:p>
            <w:pPr>
              <w:jc w:val="left"/>
            </w:pPr>
            <w:r>
              <w:rPr>
                <w:b w:val="false"/>
                <w:bCs w:val="false"/>
                <w:sz w:val="20"/>
                <w:szCs w:val="20"/>
              </w:rPr>
              <w:t xml:space="preserve">3</w:t>
            </w:r>
          </w:p>
        </w:tc>
        <w:tc>
          <w:tcPr>
            <w:tcW w:type="dxa" w:w="3200"/>
            <w:tcMar>
              <w:top w:type="dxa" w:w="60"/>
              <w:left w:type="dxa" w:w="100"/>
              <w:bottom w:type="dxa" w:w="60"/>
              <w:right w:type="dxa" w:w="100"/>
            </w:tcMar>
          </w:tcPr>
          <w:p>
            <w:pPr>
              <w:jc w:val="left"/>
            </w:pPr>
            <w:r>
              <w:rPr>
                <w:b w:val="false"/>
                <w:bCs w:val="false"/>
                <w:sz w:val="20"/>
                <w:szCs w:val="20"/>
              </w:rPr>
              <w:t xml:space="preserve">Charged sidechain atoms ≤ 4.0 Å, inter-chain</w:t>
            </w:r>
          </w:p>
        </w:tc>
        <w:tc>
          <w:tcPr>
            <w:tcW w:type="dxa" w:w="1800"/>
            <w:tcMar>
              <w:top w:type="dxa" w:w="60"/>
              <w:left w:type="dxa" w:w="100"/>
              <w:bottom w:type="dxa" w:w="60"/>
              <w:right w:type="dxa" w:w="100"/>
            </w:tcMar>
          </w:tcPr>
          <w:p>
            <w:pPr>
              <w:jc w:val="left"/>
            </w:pPr>
            <w:r>
              <w:rPr>
                <w:b w:val="false"/>
                <w:bCs w:val="false"/>
                <w:sz w:val="20"/>
                <w:szCs w:val="20"/>
              </w:rPr>
              <w:t xml:space="preserve">Python + R (exact match)</w:t>
            </w:r>
          </w:p>
        </w:tc>
      </w:tr>
      <w:tr>
        <w:tc>
          <w:tcPr>
            <w:tcW w:type="dxa" w:w="2600"/>
            <w:shd w:fill="F2F2F2" w:val="clear"/>
            <w:tcMar>
              <w:top w:type="dxa" w:w="60"/>
              <w:left w:type="dxa" w:w="100"/>
              <w:bottom w:type="dxa" w:w="60"/>
              <w:right w:type="dxa" w:w="100"/>
            </w:tcMar>
          </w:tcPr>
          <w:p>
            <w:pPr>
              <w:jc w:val="left"/>
            </w:pPr>
            <w:r>
              <w:rPr>
                <w:b w:val="false"/>
                <w:bCs w:val="false"/>
                <w:sz w:val="20"/>
                <w:szCs w:val="20"/>
              </w:rPr>
              <w:t xml:space="preserve">π-stacking (Phe60–Trp33)</w:t>
            </w:r>
          </w:p>
        </w:tc>
        <w:tc>
          <w:tcPr>
            <w:tcW w:type="dxa" w:w="2000"/>
            <w:shd w:fill="F2F2F2" w:val="clear"/>
            <w:tcMar>
              <w:top w:type="dxa" w:w="60"/>
              <w:left w:type="dxa" w:w="100"/>
              <w:bottom w:type="dxa" w:w="60"/>
              <w:right w:type="dxa" w:w="100"/>
            </w:tcMar>
          </w:tcPr>
          <w:p>
            <w:pPr>
              <w:jc w:val="left"/>
            </w:pPr>
            <w:r>
              <w:rPr>
                <w:b w:val="false"/>
                <w:bCs w:val="false"/>
                <w:sz w:val="20"/>
                <w:szCs w:val="20"/>
              </w:rPr>
              <w:t xml:space="preserve">5.19 Å</w:t>
            </w:r>
          </w:p>
        </w:tc>
        <w:tc>
          <w:tcPr>
            <w:tcW w:type="dxa" w:w="3200"/>
            <w:shd w:fill="F2F2F2" w:val="clear"/>
            <w:tcMar>
              <w:top w:type="dxa" w:w="60"/>
              <w:left w:type="dxa" w:w="100"/>
              <w:bottom w:type="dxa" w:w="60"/>
              <w:right w:type="dxa" w:w="100"/>
            </w:tcMar>
          </w:tcPr>
          <w:p>
            <w:pPr>
              <w:jc w:val="left"/>
            </w:pPr>
            <w:r>
              <w:rPr>
                <w:b w:val="false"/>
                <w:bCs w:val="false"/>
                <w:sz w:val="20"/>
                <w:szCs w:val="20"/>
              </w:rPr>
              <w:t xml:space="preserve">Ring centroid-to-centroid distance</w:t>
            </w:r>
          </w:p>
        </w:tc>
        <w:tc>
          <w:tcPr>
            <w:tcW w:type="dxa" w:w="1800"/>
            <w:shd w:fill="F2F2F2" w:val="clear"/>
            <w:tcMar>
              <w:top w:type="dxa" w:w="60"/>
              <w:left w:type="dxa" w:w="100"/>
              <w:bottom w:type="dxa" w:w="60"/>
              <w:right w:type="dxa" w:w="100"/>
            </w:tcMar>
          </w:tcPr>
          <w:p>
            <w:pPr>
              <w:jc w:val="left"/>
            </w:pPr>
            <w:r>
              <w:rPr>
                <w:b w:val="false"/>
                <w:bCs w:val="false"/>
                <w:sz w:val="20"/>
                <w:szCs w:val="20"/>
              </w:rPr>
              <w:t xml:space="preserve">Python + R (exact match)</w:t>
            </w:r>
          </w:p>
        </w:tc>
      </w:tr>
      <w:tr>
        <w:tc>
          <w:tcPr>
            <w:tcW w:type="dxa" w:w="2600"/>
            <w:tcMar>
              <w:top w:type="dxa" w:w="60"/>
              <w:left w:type="dxa" w:w="100"/>
              <w:bottom w:type="dxa" w:w="60"/>
              <w:right w:type="dxa" w:w="100"/>
            </w:tcMar>
          </w:tcPr>
          <w:p>
            <w:pPr>
              <w:jc w:val="left"/>
            </w:pPr>
            <w:r>
              <w:rPr>
                <w:b w:val="false"/>
                <w:bCs w:val="false"/>
                <w:sz w:val="20"/>
                <w:szCs w:val="20"/>
              </w:rPr>
              <w:t xml:space="preserve">GRAVY (hydropathy)</w:t>
            </w:r>
          </w:p>
        </w:tc>
        <w:tc>
          <w:tcPr>
            <w:tcW w:type="dxa" w:w="2000"/>
            <w:tcMar>
              <w:top w:type="dxa" w:w="60"/>
              <w:left w:type="dxa" w:w="100"/>
              <w:bottom w:type="dxa" w:w="60"/>
              <w:right w:type="dxa" w:w="100"/>
            </w:tcMar>
          </w:tcPr>
          <w:p>
            <w:pPr>
              <w:jc w:val="left"/>
            </w:pPr>
            <w:r>
              <w:rPr>
                <w:b w:val="false"/>
                <w:bCs w:val="false"/>
                <w:sz w:val="20"/>
                <w:szCs w:val="20"/>
              </w:rPr>
              <w:t xml:space="preserve">-1.02</w:t>
            </w:r>
          </w:p>
        </w:tc>
        <w:tc>
          <w:tcPr>
            <w:tcW w:type="dxa" w:w="3200"/>
            <w:tcMar>
              <w:top w:type="dxa" w:w="60"/>
              <w:left w:type="dxa" w:w="100"/>
              <w:bottom w:type="dxa" w:w="60"/>
              <w:right w:type="dxa" w:w="100"/>
            </w:tcMar>
          </w:tcPr>
          <w:p>
            <w:pPr>
              <w:jc w:val="left"/>
            </w:pPr>
            <w:r>
              <w:rPr>
                <w:b w:val="false"/>
                <w:bCs w:val="false"/>
                <w:sz w:val="20"/>
                <w:szCs w:val="20"/>
              </w:rPr>
              <w:t xml:space="preserve">Kyte-Doolittle scale</w:t>
            </w:r>
          </w:p>
        </w:tc>
        <w:tc>
          <w:tcPr>
            <w:tcW w:type="dxa" w:w="1800"/>
            <w:tcMar>
              <w:top w:type="dxa" w:w="60"/>
              <w:left w:type="dxa" w:w="100"/>
              <w:bottom w:type="dxa" w:w="60"/>
              <w:right w:type="dxa" w:w="100"/>
            </w:tcMar>
          </w:tcPr>
          <w:p>
            <w:pPr>
              <w:jc w:val="left"/>
            </w:pPr>
            <w:r>
              <w:rPr>
                <w:b w:val="false"/>
                <w:bCs w:val="false"/>
                <w:sz w:val="20"/>
                <w:szCs w:val="20"/>
              </w:rPr>
              <w:t xml:space="preserve">Python + R (exact match)</w:t>
            </w:r>
          </w:p>
        </w:tc>
      </w:tr>
      <w:tr>
        <w:tc>
          <w:tcPr>
            <w:tcW w:type="dxa" w:w="2600"/>
            <w:shd w:fill="F2F2F2" w:val="clear"/>
            <w:tcMar>
              <w:top w:type="dxa" w:w="60"/>
              <w:left w:type="dxa" w:w="100"/>
              <w:bottom w:type="dxa" w:w="60"/>
              <w:right w:type="dxa" w:w="100"/>
            </w:tcMar>
          </w:tcPr>
          <w:p>
            <w:pPr>
              <w:jc w:val="left"/>
            </w:pPr>
            <w:r>
              <w:rPr>
                <w:b w:val="false"/>
                <w:bCs w:val="false"/>
                <w:sz w:val="20"/>
                <w:szCs w:val="20"/>
              </w:rPr>
              <w:t xml:space="preserve">Methionine content</w:t>
            </w:r>
          </w:p>
        </w:tc>
        <w:tc>
          <w:tcPr>
            <w:tcW w:type="dxa" w:w="2000"/>
            <w:shd w:fill="F2F2F2" w:val="clear"/>
            <w:tcMar>
              <w:top w:type="dxa" w:w="60"/>
              <w:left w:type="dxa" w:w="100"/>
              <w:bottom w:type="dxa" w:w="60"/>
              <w:right w:type="dxa" w:w="100"/>
            </w:tcMar>
          </w:tcPr>
          <w:p>
            <w:pPr>
              <w:jc w:val="left"/>
            </w:pPr>
            <w:r>
              <w:rPr>
                <w:b w:val="false"/>
                <w:bCs w:val="false"/>
                <w:sz w:val="20"/>
                <w:szCs w:val="20"/>
              </w:rPr>
              <w:t xml:space="preserve">9/106 (8.5%)</w:t>
            </w:r>
          </w:p>
        </w:tc>
        <w:tc>
          <w:tcPr>
            <w:tcW w:type="dxa" w:w="3200"/>
            <w:shd w:fill="F2F2F2" w:val="clear"/>
            <w:tcMar>
              <w:top w:type="dxa" w:w="60"/>
              <w:left w:type="dxa" w:w="100"/>
              <w:bottom w:type="dxa" w:w="60"/>
              <w:right w:type="dxa" w:w="100"/>
            </w:tcMar>
          </w:tcPr>
          <w:p>
            <w:pPr>
              <w:jc w:val="left"/>
            </w:pPr>
            <w:r>
              <w:rPr>
                <w:b w:val="false"/>
                <w:bCs w:val="false"/>
                <w:sz w:val="20"/>
                <w:szCs w:val="20"/>
              </w:rPr>
              <w:t xml:space="preserve">Direct sequence count</w:t>
            </w:r>
          </w:p>
        </w:tc>
        <w:tc>
          <w:tcPr>
            <w:tcW w:type="dxa" w:w="1800"/>
            <w:shd w:fill="F2F2F2" w:val="clear"/>
            <w:tcMar>
              <w:top w:type="dxa" w:w="60"/>
              <w:left w:type="dxa" w:w="100"/>
              <w:bottom w:type="dxa" w:w="60"/>
              <w:right w:type="dxa" w:w="100"/>
            </w:tcMar>
          </w:tcPr>
          <w:p>
            <w:pPr>
              <w:jc w:val="left"/>
            </w:pPr>
            <w:r>
              <w:rPr>
                <w:b w:val="false"/>
                <w:bCs w:val="false"/>
                <w:sz w:val="20"/>
                <w:szCs w:val="20"/>
              </w:rPr>
              <w:t xml:space="preserve">Python + R (exact match)</w:t>
            </w:r>
          </w:p>
        </w:tc>
      </w:tr>
      <w:tr>
        <w:tc>
          <w:tcPr>
            <w:tcW w:type="dxa" w:w="2600"/>
            <w:tcMar>
              <w:top w:type="dxa" w:w="60"/>
              <w:left w:type="dxa" w:w="100"/>
              <w:bottom w:type="dxa" w:w="60"/>
              <w:right w:type="dxa" w:w="100"/>
            </w:tcMar>
          </w:tcPr>
          <w:p>
            <w:pPr>
              <w:jc w:val="left"/>
            </w:pPr>
            <w:r>
              <w:rPr>
                <w:b w:val="false"/>
                <w:bCs w:val="false"/>
                <w:sz w:val="20"/>
                <w:szCs w:val="20"/>
              </w:rPr>
              <w:t xml:space="preserve">Instability index</w:t>
            </w:r>
          </w:p>
        </w:tc>
        <w:tc>
          <w:tcPr>
            <w:tcW w:type="dxa" w:w="2000"/>
            <w:tcMar>
              <w:top w:type="dxa" w:w="60"/>
              <w:left w:type="dxa" w:w="100"/>
              <w:bottom w:type="dxa" w:w="60"/>
              <w:right w:type="dxa" w:w="100"/>
            </w:tcMar>
          </w:tcPr>
          <w:p>
            <w:pPr>
              <w:jc w:val="left"/>
            </w:pPr>
            <w:r>
              <w:rPr>
                <w:b w:val="false"/>
                <w:bCs w:val="false"/>
                <w:sz w:val="20"/>
                <w:szCs w:val="20"/>
              </w:rPr>
              <w:t xml:space="preserve">51.44</w:t>
            </w:r>
          </w:p>
        </w:tc>
        <w:tc>
          <w:tcPr>
            <w:tcW w:type="dxa" w:w="3200"/>
            <w:tcMar>
              <w:top w:type="dxa" w:w="60"/>
              <w:left w:type="dxa" w:w="100"/>
              <w:bottom w:type="dxa" w:w="60"/>
              <w:right w:type="dxa" w:w="100"/>
            </w:tcMar>
          </w:tcPr>
          <w:p>
            <w:pPr>
              <w:jc w:val="left"/>
            </w:pPr>
            <w:r>
              <w:rPr>
                <w:b w:val="false"/>
                <w:bCs w:val="false"/>
                <w:sz w:val="20"/>
                <w:szCs w:val="20"/>
              </w:rPr>
              <w:t xml:space="preserve">Guruprasad et al. 1990 (full DIWV table)</w:t>
            </w:r>
          </w:p>
        </w:tc>
        <w:tc>
          <w:tcPr>
            <w:tcW w:type="dxa" w:w="1800"/>
            <w:tcMar>
              <w:top w:type="dxa" w:w="60"/>
              <w:left w:type="dxa" w:w="100"/>
              <w:bottom w:type="dxa" w:w="60"/>
              <w:right w:type="dxa" w:w="100"/>
            </w:tcMar>
          </w:tcPr>
          <w:p>
            <w:pPr>
              <w:jc w:val="left"/>
            </w:pPr>
            <w:r>
              <w:rPr>
                <w:b w:val="false"/>
                <w:bCs w:val="false"/>
                <w:sz w:val="20"/>
                <w:szCs w:val="20"/>
              </w:rPr>
              <w:t xml:space="preserve">Python (Biopython) only — see caveat below</w:t>
            </w:r>
          </w:p>
        </w:tc>
      </w:tr>
      <w:tr>
        <w:tc>
          <w:tcPr>
            <w:tcW w:type="dxa" w:w="2600"/>
            <w:shd w:fill="F2F2F2" w:val="clear"/>
            <w:tcMar>
              <w:top w:type="dxa" w:w="60"/>
              <w:left w:type="dxa" w:w="100"/>
              <w:bottom w:type="dxa" w:w="60"/>
              <w:right w:type="dxa" w:w="100"/>
            </w:tcMar>
          </w:tcPr>
          <w:p>
            <w:pPr>
              <w:jc w:val="left"/>
            </w:pPr>
            <w:r>
              <w:rPr>
                <w:b w:val="false"/>
                <w:bCs w:val="false"/>
                <w:sz w:val="20"/>
                <w:szCs w:val="20"/>
              </w:rPr>
              <w:t xml:space="preserve">Sequence novelty (BLAST)</w:t>
            </w:r>
          </w:p>
        </w:tc>
        <w:tc>
          <w:tcPr>
            <w:tcW w:type="dxa" w:w="2000"/>
            <w:shd w:fill="F2F2F2" w:val="clear"/>
            <w:tcMar>
              <w:top w:type="dxa" w:w="60"/>
              <w:left w:type="dxa" w:w="100"/>
              <w:bottom w:type="dxa" w:w="60"/>
              <w:right w:type="dxa" w:w="100"/>
            </w:tcMar>
          </w:tcPr>
          <w:p>
            <w:pPr>
              <w:jc w:val="left"/>
            </w:pPr>
            <w:r>
              <w:rPr>
                <w:b w:val="false"/>
                <w:bCs w:val="false"/>
                <w:sz w:val="20"/>
                <w:szCs w:val="20"/>
              </w:rPr>
              <w:t xml:space="preserve">No significant similarity found</w:t>
            </w:r>
          </w:p>
        </w:tc>
        <w:tc>
          <w:tcPr>
            <w:tcW w:type="dxa" w:w="3200"/>
            <w:shd w:fill="F2F2F2" w:val="clear"/>
            <w:tcMar>
              <w:top w:type="dxa" w:w="60"/>
              <w:left w:type="dxa" w:w="100"/>
              <w:bottom w:type="dxa" w:w="60"/>
              <w:right w:type="dxa" w:w="100"/>
            </w:tcMar>
          </w:tcPr>
          <w:p>
            <w:pPr>
              <w:jc w:val="left"/>
            </w:pPr>
            <w:r>
              <w:rPr>
                <w:b w:val="false"/>
                <w:bCs w:val="false"/>
                <w:sz w:val="20"/>
                <w:szCs w:val="20"/>
              </w:rPr>
              <w:t xml:space="preserve">blastp vs. NCBI ClusteredNR</w:t>
            </w:r>
          </w:p>
        </w:tc>
        <w:tc>
          <w:tcPr>
            <w:tcW w:type="dxa" w:w="1800"/>
            <w:shd w:fill="F2F2F2" w:val="clear"/>
            <w:tcMar>
              <w:top w:type="dxa" w:w="60"/>
              <w:left w:type="dxa" w:w="100"/>
              <w:bottom w:type="dxa" w:w="60"/>
              <w:right w:type="dxa" w:w="100"/>
            </w:tcMar>
          </w:tcPr>
          <w:p>
            <w:pPr>
              <w:jc w:val="left"/>
            </w:pPr>
            <w:r>
              <w:rPr>
                <w:b w:val="false"/>
                <w:bCs w:val="false"/>
                <w:sz w:val="20"/>
                <w:szCs w:val="20"/>
              </w:rPr>
              <w:t xml:space="preserve">Confirmed directly from an official NCBI result page</w:t>
            </w:r>
          </w:p>
        </w:tc>
      </w:tr>
    </w:tbl>
    <w:p>
      <w:pPr>
        <w:spacing w:after="100"/>
      </w:pPr>
    </w:p>
    <w:p>
      <w:pPr>
        <w:spacing w:after="120"/>
      </w:pPr>
      <w:r>
        <w:rPr>
          <w:i/>
          <w:iCs/>
          <w:sz w:val="20"/>
          <w:szCs w:val="20"/>
        </w:rPr>
        <w:t xml:space="preserve">Caveat on the instability index: the R re-implementation used a simplified approximation (not the full 400-value Guruprasad dipeptide table) and produced a different, less reliable number. The figure of 51.44, computed via Biopython's full official table, is the one that should be used or cited.</w:t>
      </w:r>
    </w:p>
    <w:p>
      <w:pPr>
        <w:spacing w:after="100"/>
      </w:pPr>
    </w:p>
    <w:p>
      <w:pPr>
        <w:spacing w:after="120"/>
      </w:pPr>
      <w:r>
        <w:rPr>
          <w:sz w:val="20"/>
          <w:szCs w:val="20"/>
        </w:rPr>
        <w:t xml:space="preserve">The instability index of 51.44 sits above the classic 40-point threshold sometimes used to flag proteins as "potentially unstable" — this is a disclosed limitation, not a disqualifying result (the classic threshold is a general heuristic, not specific to designed mini-protein binders).</w:t>
      </w:r>
    </w:p>
    <w:p>
      <w:pPr>
        <w:pStyle w:val="Heading1"/>
        <w:spacing w:after="150" w:before="300"/>
      </w:pPr>
      <w:r>
        <w:t xml:space="preserve">6. Limitations and Honest Caveats</w:t>
      </w:r>
    </w:p>
    <w:p>
      <w:pPr>
        <w:pStyle w:val="ListParagraph"/>
        <w:numPr>
          <w:ilvl w:val="0"/>
          <w:numId w:val="1"/>
        </w:numPr>
        <w:spacing w:after="60"/>
      </w:pPr>
      <w:r>
        <w:t xml:space="preserve">This is entirely computational (in silico) structural evidence. No wet-lab experiment has confirmed that this binder physically binds PexRD54 or blocks its interaction with ATG8CL.</w:t>
      </w:r>
    </w:p>
    <w:p>
      <w:pPr>
        <w:pStyle w:val="ListParagraph"/>
        <w:numPr>
          <w:ilvl w:val="0"/>
          <w:numId w:val="1"/>
        </w:numPr>
        <w:spacing w:after="60"/>
      </w:pPr>
      <w:r>
        <w:t xml:space="preserve">The overall batch success rate has been low: across the trajectories run in this project, only one design (mpnn15) achieved full coverage of both critical anchor residues.</w:t>
      </w:r>
    </w:p>
    <w:p>
      <w:pPr>
        <w:pStyle w:val="ListParagraph"/>
        <w:numPr>
          <w:ilvl w:val="0"/>
          <w:numId w:val="1"/>
        </w:numPr>
        <w:spacing w:after="60"/>
      </w:pPr>
      <w:r>
        <w:t xml:space="preserve">Two sequence-property flags remain open items for disclosure: methionine content (8.5%, a manufacturability/oxidation consideration) and instability index (51.44, above the classic 40 heuristic threshold).</w:t>
      </w:r>
    </w:p>
    <w:p>
      <w:pPr>
        <w:pStyle w:val="ListParagraph"/>
        <w:numPr>
          <w:ilvl w:val="0"/>
          <w:numId w:val="1"/>
        </w:numPr>
        <w:spacing w:after="60"/>
      </w:pPr>
      <w:r>
        <w:t xml:space="preserve">A broader interface audit (87 residue pairs, 19 H-bonds) was reported from an external analysis run outside this conversation and could not be independently reproduced at the same magnitude; the independently verified figures (88 pairs — which does match closely — and 9 H-bonds) should be used instead.</w:t>
      </w:r>
    </w:p>
    <w:p>
      <w:pPr>
        <w:pStyle w:val="ListParagraph"/>
        <w:numPr>
          <w:ilvl w:val="0"/>
          <w:numId w:val="1"/>
        </w:numPr>
        <w:spacing w:after="60"/>
      </w:pPr>
      <w:r>
        <w:t xml:space="preserve">Novelty claims regarding prior literature and patents (as opposed to raw sequence novelty via BLAST, which was independently confirmed) have not been independently verified in this project and should be treated as provisional pending a dedicated literature/patent search.</w:t>
      </w:r>
    </w:p>
    <w:p>
      <w:pPr>
        <w:pStyle w:val="Heading1"/>
        <w:spacing w:after="150" w:before="300"/>
      </w:pPr>
      <w:r>
        <w:t xml:space="preserve">7. Recommended Next Steps</w:t>
      </w:r>
    </w:p>
    <w:p>
      <w:pPr>
        <w:pStyle w:val="ListParagraph"/>
        <w:numPr>
          <w:ilvl w:val="0"/>
          <w:numId w:val="1"/>
        </w:numPr>
        <w:spacing w:after="60"/>
      </w:pPr>
      <w:r>
        <w:t xml:space="preserve">Let the current BindCraft batch (hotspot A377-381, relaxed_filters, HardTarget) continue to completion to see whether additional strong candidates emerge for comparison.</w:t>
      </w:r>
    </w:p>
    <w:p>
      <w:pPr>
        <w:pStyle w:val="ListParagraph"/>
        <w:numPr>
          <w:ilvl w:val="0"/>
          <w:numId w:val="1"/>
        </w:numPr>
        <w:spacing w:after="60"/>
      </w:pPr>
      <w:r>
        <w:t xml:space="preserve">Perform codon optimization for mpnn15's sequence ahead of any gene synthesis / experimental work.</w:t>
      </w:r>
    </w:p>
    <w:p>
      <w:pPr>
        <w:pStyle w:val="ListParagraph"/>
        <w:numPr>
          <w:ilvl w:val="0"/>
          <w:numId w:val="1"/>
        </w:numPr>
        <w:spacing w:after="60"/>
      </w:pPr>
      <w:r>
        <w:t xml:space="preserve">Disclose the methionine content and instability index as known limitations in any written rationale or submission.</w:t>
      </w:r>
    </w:p>
    <w:p>
      <w:pPr>
        <w:pStyle w:val="ListParagraph"/>
        <w:numPr>
          <w:ilvl w:val="0"/>
          <w:numId w:val="1"/>
        </w:numPr>
        <w:spacing w:after="60"/>
      </w:pPr>
      <w:r>
        <w:t xml:space="preserve">If pursuing a novelty or patent-related statement, complete a dedicated literature and patent search rather than relying on a general absence-of-results claim.</w:t>
      </w:r>
    </w:p>
    <w:p>
      <w:pPr>
        <w:pStyle w:val="ListParagraph"/>
        <w:numPr>
          <w:ilvl w:val="0"/>
          <w:numId w:val="1"/>
        </w:numPr>
        <w:spacing w:after="60"/>
      </w:pPr>
      <w:r>
        <w:t xml:space="preserve">Plan a path toward experimental validation (e.g., in vitro binding assay) before describing this as a proven functional inhibitor rather than a computationally supported candidate.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2026-08-30T12:42:48.097Z</dcterms:created>
  <dcterms:modified xsi:type="dcterms:W3CDTF">2026-08-30T12:42:48.108Z</dcterms:modified>
</cp:coreProperties>
</file>

<file path=docProps/custom.xml><?xml version="1.0" encoding="utf-8"?>
<Properties xmlns="http://schemas.openxmlformats.org/officeDocument/2006/custom-properties" xmlns:vt="http://schemas.openxmlformats.org/officeDocument/2006/docPropsVTypes"/>
</file>