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लोक निर्माण विभाग</w:t>
      </w:r>
    </w:p>
    <w:p>
      <w:r>
        <w:t xml:space="preserve">Office of the Executive Engineer, Circle I</w:t>
      </w:r>
    </w:p>
    <w:p>
      <w:r>
        <w:t xml:space="preserve">NOTICE INVITING e-TENDER No. CE/CIV/39/2026-27</w:t>
      </w:r>
    </w:p>
    <w:p>
      <w:r>
        <w:t xml:space="preserve">Name of work: Internal electrification including wiring, distribution boards and earthing.</w:t>
      </w:r>
    </w:p>
    <w:p>
      <w:r>
        <w:t xml:space="preserve">Estimated cost put to tender: Rs. 146,27,000/-</w:t>
      </w:r>
    </w:p>
    <w:p>
      <w:r>
        <w:t xml:space="preserve">Earnest Money Deposit: Rs. 2,99,000/-</w:t>
      </w:r>
    </w:p>
    <w:p>
      <w:r>
        <w:t xml:space="preserve">Period of completion: 6 months</w:t>
      </w:r>
    </w:p>
    <w:p>
      <w:r>
        <w:t xml:space="preserve">Last date of submission: 15.10.2026 up to 15:00 hrs</w:t>
      </w:r>
    </w:p>
    <w:p>
      <w:r>
        <w:t xml:space="preserve">INSTRUCTIONS TO BIDDERS</w:t>
      </w:r>
    </w:p>
    <w:p>
      <w:r>
        <w:t xml:space="preserve">1. Bidders shall have completed at least one similar work of value not less than 40 % of the estimated cost during the last seven years.</w:t>
      </w:r>
    </w:p>
    <w:p>
      <w:r>
        <w:t xml:space="preserve">2. The successful bidder shall furnish a performance guarantee of 5 % of the contract value within 15 days.</w:t>
      </w:r>
    </w:p>
    <w:p>
      <w:r>
        <w:t xml:space="preserve">3. The Department reserves the right to accept or reject any bid without assigning any reason.</w:t>
      </w:r>
    </w:p>
    <w:p>
      <w:r>
        <w:t xml:space="preserve">4. The tender documents may be downloaded from the e-procurement portal of the Government.</w:t>
      </w:r>
    </w:p>
    <w:p>
      <w:r>
        <w:t xml:space="preserve">5. The bidder shall submit the EMD in the form of online payment or bank guarantee from a scheduled bank.</w:t>
      </w:r>
    </w:p>
    <w:p>
      <w:r>
        <w:t xml:space="preserve">6. The bidder must be registered with the Department in the appropriate class.</w:t>
      </w:r>
    </w:p>
    <w:p>
      <w:r>
        <w:t xml:space="preserve">COMMERCIAL TERMS AND CONDITIONS</w:t>
      </w:r>
    </w:p>
    <w:p>
      <w:r>
        <w:t xml:space="preserve">1. Payment shall be made within 30 days of receipt of bills duly certified by the Engineer-in-charge.</w:t>
      </w:r>
    </w:p>
    <w:p>
      <w:r>
        <w:t xml:space="preserve">2. Income tax and GST shall be deducted at source as applicable.</w:t>
      </w:r>
    </w:p>
    <w:p>
      <w:r>
        <w:t xml:space="preserve">3. The contractor shall comply with all labour laws and the provisions of the Contract Labour Act.</w:t>
      </w:r>
    </w:p>
    <w:p>
      <w:r>
        <w:t xml:space="preserve">4. The contractor shall indemnify the Department against all claims arising out of the work.</w:t>
      </w:r>
    </w:p>
    <w:p>
      <w:r>
        <w:t xml:space="preserve">5. All disputes shall be subject to arbitration under the Arbitration and Conciliation Act, 1996.</w:t>
      </w:r>
    </w:p>
    <w:p>
      <w:r>
        <w:t xml:space="preserve">SCOPE OF WORK</w:t>
      </w:r>
    </w:p>
    <w:p>
      <w:r>
        <w:t xml:space="preserve">This specification covers internal electrification including wiring, distribution boards and earthing complete in all respects.</w:t>
      </w:r>
    </w:p>
    <w:p>
      <w:r>
        <w:t xml:space="preserve">PART C — INTERNAL WIRING AND EARTHING</w:t>
      </w:r>
    </w:p>
    <w:p>
      <w:r>
        <w:t xml:space="preserve">- Wiring shall be carried out as per IS 732:2019.</w:t>
      </w:r>
    </w:p>
    <w:p>
      <w:r>
        <w:t xml:space="preserve">- The supply system shall be TN-S earthing arrangement. Wiring shall be concealed in rigid PVC conduits of 1.5mm wall thickness.</w:t>
      </w:r>
    </w:p>
    <w:p>
      <w:r>
        <w:t xml:space="preserve">- Wires shall be FR PVC insulated, single core, stranded copper conductor of 450/750 V grade conforming to IS 694:2010.</w:t>
      </w:r>
    </w:p>
    <w:p>
      <w:r>
        <w:t xml:space="preserve">- Lighting circuits shall be wired with 1.5 mm² and power circuits with 4 mm² copper conductors.</w:t>
      </w:r>
    </w:p>
    <w:p>
      <w:r>
        <w:t xml:space="preserve">- Miniature circuit breakers shall conform to IS 8828 and shall have a breaking capacity of 10 kA. MCB ratings shall range from 6A to 32A as shown in the single line diagram.</w:t>
      </w:r>
    </w:p>
    <w:p>
      <w:r>
        <w:t xml:space="preserve">- RCCBs with rated residual operating current of 30 mA shall be provided for all socket outlet circuits and shall conform to IS 12640 (Part 1).</w:t>
      </w:r>
    </w:p>
    <w:p>
      <w:r>
        <w:t xml:space="preserve">- Earthing shall be carried out in accordance with IS 3043:2018.</w:t>
      </w:r>
    </w:p>
    <w:p>
      <w:r>
        <w:t xml:space="preserve">- Two numbers of pipe earth electrodes shall be provided for the main distribution board.</w:t>
      </w:r>
    </w:p>
    <w:p>
      <w:r>
        <w:t xml:space="preserve">- The earth resistance shall not exceed 1 ohms.</w:t>
      </w:r>
    </w:p>
    <w:p>
      <w:r>
        <w:t xml:space="preserve">4 TESTS AND INSPECTION</w:t>
      </w:r>
    </w:p>
    <w:p>
      <w:r>
        <w:t xml:space="preserve">- Wires shall be tested in accordance with IS 10810.</w:t>
      </w:r>
    </w:p>
    <w:p>
      <w:r>
        <w:t xml:space="preserve">- The installation shall be tested on completion.</w:t>
      </w:r>
    </w:p>
    <w:p>
      <w:r>
        <w:t xml:space="preserve">- Wires, MCBs and RCCBs shall be ISI marked.</w:t>
      </w:r>
    </w:p>
    <w:p>
      <w:r>
        <w:t xml:space="preserve">- The equipment shall be inspected by the Engineer-in-charge at the manufacturer's works before dispatch.</w:t>
      </w:r>
    </w:p>
    <w:p>
      <w:r>
        <w:t xml:space="preserve">5 DOCUMENTATION, WARRANTY AND TRAINING</w:t>
      </w:r>
    </w:p>
    <w:p>
      <w:r>
        <w:t xml:space="preserve">- The contractor shall submit detailed shop drawings for approval within 21 days of award of work.</w:t>
      </w:r>
    </w:p>
    <w:p>
      <w:r>
        <w:t xml:space="preserve">- Three sets of operation and maintenance manuals shall be handed over on completion.</w:t>
      </w:r>
    </w:p>
    <w:p>
      <w:r>
        <w:t xml:space="preserve">- The complete installation shall be guaranteed against defective design, material and workmanship for a period of 12 months from the date of handing over.</w:t>
      </w:r>
    </w:p>
    <w:p>
      <w:r>
        <w:t xml:space="preserve">- The contractor shall train the Department's operating staff in operation and routine maintenance.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Wires: Polycab / Havells / Finolex; MCB/RCCB: Legrand / Schneider / Havells</w:t>
      </w:r>
    </w:p>
    <w:p>
      <w:r>
        <w:t xml:space="preserve">Note: Quantities are approximate and may vary during execution.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