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URBAN DEVELOPMENT AUTHORITY</w:t>
      </w:r>
    </w:p>
    <w:p>
      <w:r>
        <w:t xml:space="preserve">लोक निर्माण विभाग</w:t>
      </w:r>
    </w:p>
    <w:p>
      <w:r>
        <w:t xml:space="preserve">Office of the Executive Engineer, Division No. 2</w:t>
      </w:r>
    </w:p>
    <w:p>
      <w:r>
        <w:t xml:space="preserve">NOTICE INVITING e-TENDER No. SE/CIV/84/2026-27</w:t>
      </w:r>
    </w:p>
    <w:p>
      <w:r>
        <w:t xml:space="preserve">Name of work: Electrical works for sewage treatment plant including motors and panels.</w:t>
      </w:r>
    </w:p>
    <w:p>
      <w:r>
        <w:t xml:space="preserve">Estimated cost put to tender: Rs. 326,29,000/-</w:t>
      </w:r>
    </w:p>
    <w:p>
      <w:r>
        <w:t xml:space="preserve">Earnest Money Deposit: Rs. 8,90,000/-</w:t>
      </w:r>
    </w:p>
    <w:p>
      <w:r>
        <w:t xml:space="preserve">Period of completion: 12 months</w:t>
      </w:r>
    </w:p>
    <w:p>
      <w:r>
        <w:t xml:space="preserve">Last date of submission: 25.10.2026 up to 15:00 hrs</w:t>
      </w:r>
    </w:p>
    <w:p>
      <w:r>
        <w:t xml:space="preserve">SECTION I — INSTRUCTIONS TO TENDERERS</w:t>
      </w:r>
    </w:p>
    <w:p>
      <w:r>
        <w:t xml:space="preserve">1. The bidder shall submit the EMD in the form of online payment or bank guarantee from a scheduled bank.</w:t>
      </w:r>
    </w:p>
    <w:p>
      <w:r>
        <w:t xml:space="preserve">2. The tender documents may be downloaded from the e-procurement portal of the Government.</w:t>
      </w:r>
    </w:p>
    <w:p>
      <w:r>
        <w:t xml:space="preserve">3. Conditional bids will be summarily rejected.</w:t>
      </w:r>
    </w:p>
    <w:p>
      <w:r>
        <w:t xml:space="preserve">4. The Department reserves the right to accept or reject any bid without assigning any reason.</w:t>
      </w:r>
    </w:p>
    <w:p>
      <w:r>
        <w:t xml:space="preserve">5. Bidders shall have completed at least one similar work of value not less than 40 % of the estimated cost during the last seven years.</w:t>
      </w:r>
    </w:p>
    <w:p>
      <w:r>
        <w:t xml:space="preserve">6. The bid shall remain valid for 90 days from the date of opening of the technical bid.</w:t>
      </w:r>
    </w:p>
    <w:p>
      <w:r>
        <w:t xml:space="preserve">COMMERCIAL TERMS AND CONDITIONS</w:t>
      </w:r>
    </w:p>
    <w:p>
      <w:r>
        <w:t xml:space="preserve">1. Liquidated damages at 0.5 % per week of delay shall be levied, subject to a maximum of 10 % of the contract value.</w:t>
      </w:r>
    </w:p>
    <w:p>
      <w:r>
        <w:t xml:space="preserve">2. All disputes shall be subject to arbitration under the Arbitration and Conciliation Act, 1996.</w:t>
      </w:r>
    </w:p>
    <w:p>
      <w:r>
        <w:t xml:space="preserve">3. The contractor shall indemnify the Department against all claims arising out of the work.</w:t>
      </w:r>
    </w:p>
    <w:p>
      <w:r>
        <w:t xml:space="preserve">4. Rates quoted shall be inclusive of all taxes, freight, insurance and transit risks.</w:t>
      </w:r>
    </w:p>
    <w:p>
      <w:r>
        <w:t xml:space="preserve">5. Payment shall be made within 30 days of receipt of bills duly certified by the Engineer-in-charge.</w:t>
      </w:r>
    </w:p>
    <w:p>
      <w:r>
        <w:t xml:space="preserve">SCOPE OF WORK</w:t>
      </w:r>
    </w:p>
    <w:p>
      <w:r>
        <w:t xml:space="preserve">This specification covers electrical works for sewage treatment plant including motors and panels complete in all respects.</w:t>
      </w:r>
    </w:p>
    <w:p>
      <w:r>
        <w:t xml:space="preserve">SITE CONDITIONS</w:t>
      </w:r>
    </w:p>
    <w:p>
      <w:r>
        <w:t xml:space="preserve">- The equipment shall be designed for a maximum ambient temperature of 40 deg C.</w:t>
      </w:r>
    </w:p>
    <w:p>
      <w:r>
        <w:t xml:space="preserve">- Relative humidity at site may reach 95%.</w:t>
      </w:r>
    </w:p>
    <w:p>
      <w:r>
        <w:t xml:space="preserve">- The installation is at an altitude of less than 1000 m above mean sea level.</w:t>
      </w:r>
    </w:p>
    <w:p>
      <w:r>
        <w:t xml:space="preserve">SECTION 4: MAIN LT PANEL</w:t>
      </w:r>
    </w:p>
    <w:p>
      <w:r>
        <w:t xml:space="preserve">- The LT panel shall conform to IS/IEC 61439-1:2020 and IS/IEC 61439-2:2020.</w:t>
      </w:r>
    </w:p>
    <w:p>
      <w:r>
        <w:t xml:space="preserve">- The panel shall be cubicle type, floor mounted, fabricated from CRCA sheet steel of 2mm thickness.</w:t>
      </w:r>
    </w:p>
    <w:p>
      <w:r>
        <w:t xml:space="preserve">- The rated operational voltage shall be 415V, 3 phase, 4 wire, 50Hz.</w:t>
      </w:r>
    </w:p>
    <w:p>
      <w:r>
        <w:t xml:space="preserve">- Main busbars shall be of electrolytic grade aluminium rated for 1600A continuous current. The busbars and panel shall withstand a short circuit current of 50 kA for 1 second.</w:t>
      </w:r>
    </w:p>
    <w:p>
      <w:r>
        <w:t xml:space="preserve">- The degree of protection of the panel enclosure shall be IP54.</w:t>
      </w:r>
    </w:p>
    <w:p>
      <w:r>
        <w:t xml:space="preserve">- The switchboard shall have Form 3b internal separation.</w:t>
      </w:r>
    </w:p>
    <w:p>
      <w:r>
        <w:t xml:space="preserve">- Incomers shall be 1600A, 4 pole, electrically operated air circuit breakers conforming to IS/IEC 60947-2:2003.</w:t>
      </w:r>
    </w:p>
    <w:p>
      <w:r>
        <w:t xml:space="preserve">- Outgoing feeders shall be MCCBs with ultimate breaking capacity of 36 kA.</w:t>
      </w:r>
    </w:p>
    <w:p>
      <w:r>
        <w:t xml:space="preserve">- Multifunction meters of accuracy class 0.5 shall be provided on each incomer.</w:t>
      </w:r>
    </w:p>
    <w:p>
      <w:r>
        <w:t xml:space="preserve">GUARANTEED TECHNICAL PARTICULARS — LT PANEL</w:t>
      </w:r>
    </w:p>
    <w:tbl>
      <w:tr>
        <w:tc>
          <w:p>
            <w:r>
              <w:t xml:space="preserve">Rated voltage</w:t>
            </w:r>
          </w:p>
        </w:tc>
        <w:tc>
          <w:p>
            <w:r>
              <w:t xml:space="preserve">415V</w:t>
            </w:r>
          </w:p>
        </w:tc>
      </w:tr>
      <w:tr>
        <w:tc>
          <w:p>
            <w:r>
              <w:t xml:space="preserve">Rated current of main busbar</w:t>
            </w:r>
          </w:p>
        </w:tc>
        <w:tc>
          <w:p>
            <w:r>
              <w:t xml:space="preserve">1600A</w:t>
            </w:r>
          </w:p>
        </w:tc>
      </w:tr>
      <w:tr>
        <w:tc>
          <w:p>
            <w:r>
              <w:t xml:space="preserve">Short time current rating</w:t>
            </w:r>
          </w:p>
        </w:tc>
        <w:tc>
          <w:p>
            <w:r>
              <w:t xml:space="preserve">50 kA for 1 s</w:t>
            </w:r>
          </w:p>
        </w:tc>
      </w:tr>
      <w:tr>
        <w:tc>
          <w:p>
            <w:r>
              <w:t xml:space="preserve">Degree of protection</w:t>
            </w:r>
          </w:p>
        </w:tc>
        <w:tc>
          <w:p>
            <w:r>
              <w:t xml:space="preserve">IP54</w:t>
            </w:r>
          </w:p>
        </w:tc>
      </w:tr>
      <w:tr>
        <w:tc>
          <w:p>
            <w:r>
              <w:t xml:space="preserve">Make and type</w:t>
            </w:r>
          </w:p>
        </w:tc>
        <w:tc>
          <w:p>
            <w:r>
              <w:t xml:space="preserve">(to be furnished by the bidder)</w:t>
            </w:r>
          </w:p>
        </w:tc>
      </w:tr>
    </w:tbl>
    <w:p>
      <w:r>
        <w:t xml:space="preserve">5 TECHNICAL SPECIFICATION — DRIVE MOTORS</w:t>
      </w:r>
    </w:p>
    <w:p>
      <w:r>
        <w:t xml:space="preserve">- Motors shall be squirrel cage induction motors conforming to IS 325:1996.</w:t>
      </w:r>
    </w:p>
    <w:p>
      <w:r>
        <w:t xml:space="preserve">- The rated output of the motor shall be 37kW. Motors shall be suitable for 415V ± 10%, 50Hz ± 5%, 3 phase supply.</w:t>
      </w:r>
    </w:p>
    <w:p>
      <w:r>
        <w:t xml:space="preserve">- Motors shall be of efficiency class IE3 as per IS 12615:2018.</w:t>
      </w:r>
    </w:p>
    <w:p>
      <w:r>
        <w:t xml:space="preserve">- Degree of protection of the motor enclosure shall be IP55. Motors shall have class F insulation with temperature rise limited to class B and shall be suitable for S1 duty.</w:t>
      </w:r>
    </w:p>
    <w:p>
      <w:r>
        <w:t xml:space="preserve">- Synchronous speed of the motor shall be 1500 RPM.</w:t>
      </w:r>
    </w:p>
    <w:p>
      <w:r>
        <w:t xml:space="preserve">PART F — LT POWER AND CONTROL CABLES</w:t>
      </w:r>
    </w:p>
    <w:p>
      <w:r>
        <w:t xml:space="preserve">- Power cables shall be 1.1 kV grade, aluminium conductor, XLPE insulated, armoured and PVC sheathed, conforming to IS 7098 (Part 1):1988.</w:t>
      </w:r>
    </w:p>
    <w:p>
      <w:r>
        <w:t xml:space="preserve">- The main feeder cable shall be 3.5 core 300 sq mm.</w:t>
      </w:r>
    </w:p>
    <w:p>
      <w:r>
        <w:t xml:space="preserve">- The cables shall be suitable for a maximum continuous conductor temperature of 90 deg C.</w:t>
      </w:r>
    </w:p>
    <w:p>
      <w:r>
        <w:t xml:space="preserve">- Control cables shall be PVC insulated, copper conductor of 2.5 sq mm, 1.1 kV grade, conforming to IS 1554 (Part 1).</w:t>
      </w:r>
    </w:p>
    <w:p>
      <w:r>
        <w:t xml:space="preserve">- Conductors shall be stranded, class 2, conforming to IS 8130.</w:t>
      </w:r>
    </w:p>
    <w:p>
      <w:r>
        <w:t xml:space="preserve">- Cables shall be laid in RCC trenches or on perforated cable trays as shown in the drawings.</w:t>
      </w:r>
    </w:p>
    <w:p>
      <w:r>
        <w:t xml:space="preserve">- Cable ends shall be terminated using double compression glands and crimped lugs. Each drum shall be marked with the manufacturer's name, size, voltage grade and year of manufacture.</w:t>
      </w:r>
    </w:p>
    <w:p>
      <w:r>
        <w:t xml:space="preserve">SECTION 7: TESTING, INSPECTION AND CERTIFICATION</w:t>
      </w:r>
    </w:p>
    <w:p>
      <w:r>
        <w:t xml:space="preserve">- Routine verification of each assembly shall be carried out in accordance with IS/IEC 61439-1.</w:t>
      </w:r>
    </w:p>
    <w:p>
      <w:r>
        <w:t xml:space="preserve">- Type test certificates of the offered panel design from a NABL accredited laboratory shall be submitted.</w:t>
      </w:r>
    </w:p>
    <w:p>
      <w:r>
        <w:t xml:space="preserve">- Routine tests on motors shall be carried out as per IS 4029.</w:t>
      </w:r>
    </w:p>
    <w:p>
      <w:r>
        <w:t xml:space="preserve">- Motors shall bear the ISI mark.</w:t>
      </w:r>
    </w:p>
    <w:p>
      <w:r>
        <w:t xml:space="preserve">- Cables shall be tested in accordance with IS 10810.</w:t>
      </w:r>
    </w:p>
    <w:p>
      <w:r>
        <w:t xml:space="preserve">- Routine test certificates of cables shall be furnished with each consignment.</w:t>
      </w:r>
    </w:p>
    <w:p>
      <w:r>
        <w:t xml:space="preserve">- The equipment shall be inspected by the Engineer-in-charge at the manufacturer's works before dispatch.</w:t>
      </w:r>
    </w:p>
    <w:p>
      <w:r>
        <w:t xml:space="preserve">8 DOCUMENTATION, WARRANTY AND TRAINING</w:t>
      </w:r>
    </w:p>
    <w:p>
      <w:r>
        <w:t xml:space="preserve">- The contractor shall submit detailed shop drawings for approval within 21 days of award of work.</w:t>
      </w:r>
    </w:p>
    <w:p>
      <w:r>
        <w:t xml:space="preserve">- Three sets of operation and maintenance manuals shall be handed over on completion.</w:t>
      </w:r>
    </w:p>
    <w:p>
      <w:r>
        <w:t xml:space="preserve">- The complete installation shall be guaranteed against defective design, material and workmanship for a period of 12 months from the date of handing over.</w:t>
      </w:r>
    </w:p>
    <w:p>
      <w:r>
        <w:t xml:space="preserve">- The contractor shall train the Department's operating staff in operation and routine maintenance.</w:t>
      </w:r>
    </w:p>
    <w:p>
      <w:r>
        <w:t xml:space="preserve">BILL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Main LT panel as per specification</w:t>
            </w:r>
          </w:p>
        </w:tc>
        <w:tc>
          <w:p>
            <w:r>
              <w:t xml:space="preserve">Set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Sub-distribution board, 12 way TPN</w:t>
            </w:r>
          </w:p>
        </w:tc>
        <w:tc>
          <w:p>
            <w:r>
              <w:t xml:space="preserve">No.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Squirrel cage induction motor 37 kW, 1500 rpm</w:t>
            </w:r>
          </w:p>
        </w:tc>
        <w:tc>
          <w:p>
            <w:r>
              <w:t xml:space="preserve">No.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3.5C x 300 sq mm XLPE armoured cable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350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Cable tray 300 mm wide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120</w:t>
            </w:r>
          </w:p>
        </w:tc>
      </w:tr>
    </w:tbl>
    <w:p>
      <w:r>
        <w:t xml:space="preserve">LIST OF APPROVED MAKES</w:t>
      </w:r>
    </w:p>
    <w:p>
      <w:r>
        <w:t xml:space="preserve">LT panel builder: as per approved list; ACB/MCCB: L&amp;T / Siemens / Schneider / ABB</w:t>
      </w:r>
    </w:p>
    <w:p>
      <w:r>
        <w:t xml:space="preserve">Motors: ABB / Siemens / Crompton Greaves / Kirloskar</w:t>
      </w:r>
    </w:p>
    <w:p>
      <w:r>
        <w:t xml:space="preserve">Cables: Polycab / KEI / Havells / RR Kabel</w:t>
      </w:r>
    </w:p>
    <w:p>
      <w:r>
        <w:t xml:space="preserve">Note: Drawings are indicative only and shall be verified at site.</w:t>
      </w:r>
    </w:p>
    <w:p>
      <w:r>
        <w:t xml:space="preserve">Note: Quantities are approximate and may vary during execution.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