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RURAL WATER SUPPLY DEPARTMENT</w:t>
      </w:r>
    </w:p>
    <w:p>
      <w:r>
        <w:t xml:space="preserve">Office of the Executive Engineer, Division No. 2</w:t>
      </w:r>
    </w:p>
    <w:p>
      <w:r>
        <w:t xml:space="preserve">NOTICE INVITING e-TENDER No. EE/ELE/48/2026-27</w:t>
      </w:r>
    </w:p>
    <w:p>
      <w:r>
        <w:t xml:space="preserve">Name of work: Rural piped water supply scheme — pumping and treated water supply.</w:t>
      </w:r>
    </w:p>
    <w:p>
      <w:r>
        <w:t xml:space="preserve">Estimated cost put to tender: Rs. 406,45,000/-</w:t>
      </w:r>
    </w:p>
    <w:p>
      <w:r>
        <w:t xml:space="preserve">Earnest Money Deposit: Rs. 5,17,000/-</w:t>
      </w:r>
    </w:p>
    <w:p>
      <w:r>
        <w:t xml:space="preserve">Period of completion: 18 months</w:t>
      </w:r>
    </w:p>
    <w:p>
      <w:r>
        <w:t xml:space="preserve">Last date of submission: 23.12.2026 up to 15:00 hrs</w:t>
      </w:r>
    </w:p>
    <w:p>
      <w:r>
        <w:t xml:space="preserve">INSTRUCTIONS TO BIDDERS</w:t>
      </w:r>
    </w:p>
    <w:p>
      <w:r>
        <w:t xml:space="preserve">1. The bidder must be registered with the Department in the appropriate class.</w:t>
      </w:r>
    </w:p>
    <w:p>
      <w:r>
        <w:t xml:space="preserve">2. The Department reserves the right to accept or reject any bid without assigning any reason.</w:t>
      </w:r>
    </w:p>
    <w:p>
      <w:r>
        <w:t xml:space="preserve">3. The tender documents may be downloaded from the e-procurement portal of the Government.</w:t>
      </w:r>
    </w:p>
    <w:p>
      <w:r>
        <w:t xml:space="preserve">4. The bid shall remain valid for 90 days from the date of opening of the technical bid.</w:t>
      </w:r>
    </w:p>
    <w:p>
      <w:r>
        <w:t xml:space="preserve">5. The bidder shall upload scanned copies of GST registration, PAN and audited balance sheets.</w:t>
      </w:r>
    </w:p>
    <w:p>
      <w:r>
        <w:t xml:space="preserve">SCOPE OF WORK</w:t>
      </w:r>
    </w:p>
    <w:p>
      <w:r>
        <w:t xml:space="preserve">This specification covers rural piped water supply scheme — pumping and treated water supply complete in all respects.</w:t>
      </w:r>
    </w:p>
    <w:p>
      <w:r>
        <w:t xml:space="preserve">SECTION 3: HORIZONTAL CENTRIFUGAL PUMPS</w:t>
      </w:r>
    </w:p>
    <w:p>
      <w:r>
        <w:t xml:space="preserve">3.1 Pumps shall conform to IS 1520:1980.</w:t>
      </w:r>
    </w:p>
    <w:p>
      <w:r>
        <w:t xml:space="preserve">3.2 Each pump shall deliver 250 m³/h against a total head of 45 metres.</w:t>
      </w:r>
    </w:p>
    <w:p>
      <w:r>
        <w:t xml:space="preserve">3.3 The pump efficiency at the duty point shall not be less than 78%. Casing shall be of cast iron and impeller shall be of bronze.</w:t>
      </w:r>
    </w:p>
    <w:p>
      <w:r>
        <w:t xml:space="preserve">3.4 Noise level at 1 metres from the pumpset shall not exceed 85 dBA.</w:t>
      </w:r>
    </w:p>
    <w:p>
      <w:r>
        <w:t xml:space="preserve">PUMP DATA SHEET</w:t>
      </w:r>
    </w:p>
    <w:tbl>
      <w:tr>
        <w:tc>
          <w:p>
            <w:r>
              <w:t xml:space="preserve">Discharge</w:t>
            </w:r>
          </w:p>
        </w:tc>
        <w:tc>
          <w:p>
            <w:r>
              <w:t xml:space="preserve">250 m³/h</w:t>
            </w:r>
          </w:p>
        </w:tc>
      </w:tr>
      <w:tr>
        <w:tc>
          <w:p>
            <w:r>
              <w:t xml:space="preserve">Total head</w:t>
            </w:r>
          </w:p>
        </w:tc>
        <w:tc>
          <w:p>
            <w:r>
              <w:t xml:space="preserve">45 metres</w:t>
            </w:r>
          </w:p>
        </w:tc>
      </w:tr>
      <w:tr>
        <w:tc>
          <w:p>
            <w:r>
              <w:t xml:space="preserve">Make and type</w:t>
            </w:r>
          </w:p>
        </w:tc>
        <w:tc>
          <w:p>
            <w:r>
              <w:t xml:space="preserve">(to be furnished by the bidder)</w:t>
            </w:r>
          </w:p>
        </w:tc>
      </w:tr>
    </w:tbl>
    <w:p>
      <w:r>
        <w:t xml:space="preserve">SECTION 4: DRIVE MOTORS</w:t>
      </w:r>
    </w:p>
    <w:p>
      <w:r>
        <w:t xml:space="preserve">4.1 Motors shall be squirrel cage induction motors conforming to IS 325:1996.</w:t>
      </w:r>
    </w:p>
    <w:p>
      <w:r>
        <w:t xml:space="preserve">4.2 The rated output of the motor shall be 37kW.</w:t>
      </w:r>
    </w:p>
    <w:p>
      <w:r>
        <w:t xml:space="preserve">4.3 Motors shall be suitable for 415V ± 10%, 50 Hz ± 5%, 3 phase supply.</w:t>
      </w:r>
    </w:p>
    <w:p>
      <w:r>
        <w:t xml:space="preserve">4.4 Motors shall be of efficiency class IE3 as per IS 12615:2018.</w:t>
      </w:r>
    </w:p>
    <w:p>
      <w:r>
        <w:t xml:space="preserve">4.5 Degree of protection of the motor enclosure shall be IP55.</w:t>
      </w:r>
    </w:p>
    <w:p>
      <w:r>
        <w:t xml:space="preserve">4.6 Motors shall have class F insulation with temperature rise limited to class B and shall be suitable for S1 duty.</w:t>
      </w:r>
    </w:p>
    <w:p>
      <w:r>
        <w:t xml:space="preserve">4.7 Synchronous speed of the motor shall be 1500 RPM.</w:t>
      </w:r>
    </w:p>
    <w:p>
      <w:r>
        <w:t xml:space="preserve">PART E — TREATED WATER QUALITY</w:t>
      </w:r>
    </w:p>
    <w:p>
      <w:r>
        <w:t xml:space="preserve">5.1 Treated water supplied shall conform to IS 10500:2012.</w:t>
      </w:r>
    </w:p>
    <w:p>
      <w:r>
        <w:t xml:space="preserve">5.2 PH OF TREATED WATER SHALL BE BETWEEN 6.5 AND 8.5.</w:t>
      </w:r>
    </w:p>
    <w:p>
      <w:r>
        <w:t xml:space="preserve">5.3 TOTAL DISSOLVED SOLIDS SHALL NOT EXCEED 500 MG/L. Turbidity shall not be more than 1 NTU.</w:t>
      </w:r>
    </w:p>
    <w:p>
      <w:r>
        <w:t xml:space="preserve">5.4 Fluoride shall not exceed 1.0 mg/L.</w:t>
      </w:r>
    </w:p>
    <w:p>
      <w:r>
        <w:t xml:space="preserve">5.5 Nitrate shall not exceed 45 mg/L.</w:t>
      </w:r>
    </w:p>
    <w:p>
      <w:r>
        <w:t xml:space="preserve">5.6 Arsenic shall not exceed 0.01 mg/L.</w:t>
      </w:r>
    </w:p>
    <w:p>
      <w:r>
        <w:t xml:space="preserve">5.7 Total hardness as CaCO3 shall not exceed 200 mg/L.</w:t>
      </w:r>
    </w:p>
    <w:p>
      <w:r>
        <w:t xml:space="preserve">5.8 E. coli shall not be detectable in any 100 ml sample.</w:t>
      </w:r>
    </w:p>
    <w:p>
      <w:r>
        <w:t xml:space="preserve">6 TESTS AND INSPECTION</w:t>
      </w:r>
    </w:p>
    <w:p>
      <w:r>
        <w:t xml:space="preserve">6.1 Pumps shall be tested at the works in accordance with IS 9137.</w:t>
      </w:r>
    </w:p>
    <w:p>
      <w:r>
        <w:t xml:space="preserve">6.2 Pumps shall bear the ISI mark.</w:t>
      </w:r>
    </w:p>
    <w:p>
      <w:r>
        <w:t xml:space="preserve">6.3 Routine tests on motors shall be carried out as per IS 4029.</w:t>
      </w:r>
    </w:p>
    <w:p>
      <w:r>
        <w:t xml:space="preserve">6.4 Motors shall bear the ISI mark. Water samples shall be tested in a NABL accredited laboratory as per IS 3025 and IS 1622.</w:t>
      </w:r>
    </w:p>
    <w:p>
      <w:r>
        <w:t xml:space="preserve">6.5 The equipment shall be inspected by the Engineer-in-charge at the manufacturer's works before dispatch.</w:t>
      </w:r>
    </w:p>
    <w:p>
      <w:r>
        <w:t xml:space="preserve">7 DOCUMENTATION, WARRANTY AND TRAINING</w:t>
      </w:r>
    </w:p>
    <w:p>
      <w:r>
        <w:t xml:space="preserve">7.1 Test reports shall be submitted to the Engineer-in-charge for each source.</w:t>
      </w:r>
    </w:p>
    <w:p>
      <w:r>
        <w:t xml:space="preserve">7.2 The contractor shall submit detailed shop drawings for approval within 21 days of award of work.</w:t>
      </w:r>
    </w:p>
    <w:p>
      <w:r>
        <w:t xml:space="preserve">7.3 THREE SETS OF OPERATION AND MAINTENANCE MANUALS SHALL BE HANDED OVER ON COMPLETION.</w:t>
      </w:r>
    </w:p>
    <w:p>
      <w:r>
        <w:t xml:space="preserve">7.4 THE COMPLETE INSTALLATION SHALL BE GUARANTEED AGAINST DEFECTIVE DESIGN, MATERIAL AND WORKMANSHIP FOR A PERIOD OF 12 MONTHS FROM THE DATE OF HANDING OVER.</w:t>
      </w:r>
    </w:p>
    <w:p>
      <w:r>
        <w:t xml:space="preserve">7.5 The contractor shall train the Department's operating staff in operation and routine maintenance.</w:t>
      </w:r>
    </w:p>
    <w:p>
      <w:r>
        <w:t xml:space="preserve">SCHEDULE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Horizontal centrifugal pumpset 250 m3/hr at 45 m</w:t>
            </w:r>
          </w:p>
        </w:tc>
        <w:tc>
          <w:p>
            <w:r>
              <w:t xml:space="preserve">Set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Squirrel cage induction motor 37 kW, 1500 rpm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3</w:t>
            </w:r>
          </w:p>
        </w:tc>
      </w:tr>
    </w:tbl>
    <w:p>
      <w:r>
        <w:t xml:space="preserve">3 | Water quality testing (complete set of parameters) | Sample | 48</w:t>
      </w:r>
    </w:p>
    <w:p>
      <w:r>
        <w:t xml:space="preserve">LIST OF APPROVED MAKES</w:t>
      </w:r>
    </w:p>
    <w:p>
      <w:r>
        <w:t xml:space="preserve">Pumps: Kirloskar Brothers / KSB / Mather &amp; Platt</w:t>
      </w:r>
    </w:p>
    <w:p>
      <w:r>
        <w:t xml:space="preserve">Motors: ABB / Siemens / Crompton Greaves / Kirloskar</w:t>
      </w:r>
    </w:p>
    <w:p>
      <w:r>
        <w:t xml:space="preserve">Testing laboratory: NABL accredited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Note: Drawings are indicative only and shall be verified at site.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