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WORKS DEPARTMENT</w:t>
      </w:r>
    </w:p>
    <w:p>
      <w:r>
        <w:t xml:space="preserve">कार्यपालक अभियंता</w:t>
      </w:r>
    </w:p>
    <w:p>
      <w:r>
        <w:t xml:space="preserve">Office of the Executive Engineer, Project Division</w:t>
      </w:r>
    </w:p>
    <w:p>
      <w:r>
        <w:t xml:space="preserve">NOTICE INVITING e-TENDER No. CE/CIV/54/2026-27</w:t>
      </w:r>
    </w:p>
    <w:p>
      <w:r>
        <w:t xml:space="preserve">Name of work: Hostel block construction — civil and internal electrical works.</w:t>
      </w:r>
    </w:p>
    <w:p>
      <w:r>
        <w:t xml:space="preserve">Estimated cost put to tender: Rs. 64,62,000/-</w:t>
      </w:r>
    </w:p>
    <w:p>
      <w:r>
        <w:t xml:space="preserve">Earnest Money Deposit: Rs. 1,42,000/-</w:t>
      </w:r>
    </w:p>
    <w:p>
      <w:r>
        <w:t xml:space="preserve">Period of completion: 18 months</w:t>
      </w:r>
    </w:p>
    <w:p>
      <w:r>
        <w:t xml:space="preserve">Last date of submission: 14.11.2026 up to 15:00 hrs</w:t>
      </w:r>
    </w:p>
    <w:p>
      <w:r>
        <w:t xml:space="preserve">INSTRUCTIONS TO BIDDERS</w:t>
      </w:r>
    </w:p>
    <w:p>
      <w:r>
        <w:t xml:space="preserve">1. The bidder shall submit the EMD in the form of online payment or bank guarantee from a scheduled bank.</w:t>
      </w:r>
    </w:p>
    <w:p>
      <w:r>
        <w:t xml:space="preserve">2. The Department reserves the right to accept or reject any bid without assigning any reason.</w:t>
      </w:r>
    </w:p>
    <w:p>
      <w:r>
        <w:t xml:space="preserve">3. The bidder must be registered with the Department in the appropriate class.</w:t>
      </w:r>
    </w:p>
    <w:p>
      <w:r>
        <w:t xml:space="preserve">4. The tender documents may be downloaded from the e-procurement portal of the Government.</w:t>
      </w:r>
    </w:p>
    <w:p>
      <w:r>
        <w:t xml:space="preserve">SPECIAL CONDITIONS OF CONTRACT</w:t>
      </w:r>
    </w:p>
    <w:p>
      <w:r>
        <w:t xml:space="preserve">1. Rates quoted shall be inclusive of all taxes, freight, insurance and transit risks.</w:t>
      </w:r>
    </w:p>
    <w:p>
      <w:r>
        <w:t xml:space="preserve">2. Payment shall be made within 30 days of receipt of bills duly certified by the Engineer-in-charge.</w:t>
      </w:r>
    </w:p>
    <w:p>
      <w:r>
        <w:t xml:space="preserve">3. Income tax and GST shall be deducted at source as applicable.</w:t>
      </w:r>
    </w:p>
    <w:p>
      <w:r>
        <w:t xml:space="preserve">4. All disputes shall be subject to arbitration under the Arbitration and Conciliation Act, 1996.</w:t>
      </w:r>
    </w:p>
    <w:p>
      <w:r>
        <w:t xml:space="preserve">5. The contractor shall comply with all labour laws and the provisions of the Contract Labour Act.</w:t>
      </w:r>
    </w:p>
    <w:p>
      <w:r>
        <w:t xml:space="preserve">SCOPE OF WORK</w:t>
      </w:r>
    </w:p>
    <w:p>
      <w:r>
        <w:t xml:space="preserve">This specification covers hostel block construction — civil and internal electrical works complete in all respects.</w:t>
      </w:r>
    </w:p>
    <w:p>
      <w:r>
        <w:t xml:space="preserve">SITE CONDITIONS</w:t>
      </w:r>
    </w:p>
    <w:p>
      <w:r>
        <w:t xml:space="preserve">1. The structure shall be designed for the exposure condition severe as defined in IS 456:2000.</w:t>
      </w:r>
    </w:p>
    <w:p>
      <w:r>
        <w:t xml:space="preserve">PART D — CONCRETE AND REINFORCEMENT</w:t>
      </w:r>
    </w:p>
    <w:p>
      <w:r>
        <w:t xml:space="preserve">1. All plain and reinforced concrete work shall conform to IS 456:2000.</w:t>
      </w:r>
    </w:p>
    <w:p>
      <w:r>
        <w:t xml:space="preserve">2. All RCC work shall be of grade M30.</w:t>
      </w:r>
    </w:p>
    <w:p>
      <w:r>
        <w:t xml:space="preserve">3. Nominal cover to reinforcement shall be 45mm.</w:t>
      </w:r>
    </w:p>
    <w:p>
      <w:r>
        <w:t xml:space="preserve">4. The free water-cement ratio shall not exceed 0.45.</w:t>
      </w:r>
    </w:p>
    <w:p>
      <w:r>
        <w:t xml:space="preserve">5. Minimum cement content shall be 320 kg/m³.</w:t>
      </w:r>
    </w:p>
    <w:p>
      <w:r>
        <w:t xml:space="preserve">6. Cement shall be ordinary Portland cement 43 grade conforming to IS 269:2015.</w:t>
      </w:r>
    </w:p>
    <w:p>
      <w:r>
        <w:t xml:space="preserve">7. Coarse and fine aggregates shall conform to IS 383:2016.</w:t>
      </w:r>
    </w:p>
    <w:p>
      <w:r>
        <w:t xml:space="preserve">8. Reinforcement shall be Fe 500D TMT bars conforming to IS 1786:2008.</w:t>
      </w:r>
    </w:p>
    <w:p>
      <w:r>
        <w:t xml:space="preserve">9. Concrete shall be design mix proportioned as per IS 10262:2019. Distribution boards and enclosures shall be of suitable size.</w:t>
      </w:r>
    </w:p>
    <w:p>
      <w:r>
        <w:t xml:space="preserve">10. Curing shall be continued for a minimum period of 10 days.</w:t>
      </w:r>
    </w:p>
    <w:p>
      <w:r>
        <w:t xml:space="preserve">11. Concrete shall be compacted with mechanical needle vibrators.</w:t>
      </w:r>
    </w:p>
    <w:p>
      <w:r>
        <w:t xml:space="preserve">PART E — INTERNAL WIRING AND EARTHING</w:t>
      </w:r>
    </w:p>
    <w:p>
      <w:r>
        <w:t xml:space="preserve">1. Wiring shall be carried out as per IS 732:1989.</w:t>
      </w:r>
    </w:p>
    <w:p>
      <w:r>
        <w:t xml:space="preserve">2. The supply system shall be TN-S earthing arrangement.</w:t>
      </w:r>
    </w:p>
    <w:p>
      <w:r>
        <w:t xml:space="preserve">3. Wiring shall be concealed in rigid PVC conduits of 1.5mm wall thickness.</w:t>
      </w:r>
    </w:p>
    <w:p>
      <w:r>
        <w:t xml:space="preserve">4. Wires shall be FR PVC insulated, single core, stranded copper conductor of 450/750 V grade conforming to IS 694:2010.</w:t>
      </w:r>
    </w:p>
    <w:p>
      <w:r>
        <w:t xml:space="preserve">5. Lighting circuits shall be wired with 1.5 sq mm and power circuits with 4 sq mm copper conductors.</w:t>
      </w:r>
    </w:p>
    <w:p>
      <w:r>
        <w:t xml:space="preserve">6. Miniature circuit breakers shall conform to IS/IEC 60898-1 and shall have a breaking capacity of 10kA.</w:t>
      </w:r>
    </w:p>
    <w:p>
      <w:r>
        <w:t xml:space="preserve">7. MCB ratings shall range from 6A to 32A as shown in the single line diagram.</w:t>
      </w:r>
    </w:p>
    <w:p>
      <w:r>
        <w:t xml:space="preserve">8. RCCBs with rated residual operating current of 30 mA shall be provided for all socket outlet circuits and shall conform to IS 12640 (Part 1).</w:t>
      </w:r>
    </w:p>
    <w:p>
      <w:r>
        <w:t xml:space="preserve">9. Earthing shall be carried out in accordance with IS 3043:2018.</w:t>
      </w:r>
    </w:p>
    <w:p>
      <w:r>
        <w:t xml:space="preserve">10. Two numbers of pipe earth electrodes shall be provided for the main distribution board.</w:t>
      </w:r>
    </w:p>
    <w:p>
      <w:r>
        <w:t xml:space="preserve">11. The earth resistance shall not exceed 1 ohms.</w:t>
      </w:r>
    </w:p>
    <w:p>
      <w:r>
        <w:t xml:space="preserve">6 TESTS AND INSPECTION</w:t>
      </w:r>
    </w:p>
    <w:p>
      <w:r>
        <w:t xml:space="preserve">1. Compressive strength tests shall be carried out as per IS 516 (Part 1/Sec 1):2021.</w:t>
      </w:r>
    </w:p>
    <w:p>
      <w:r>
        <w:t xml:space="preserve">2. Manufacturer's test certificates shall be furnished for each lot of cement and reinforcement steel.</w:t>
      </w:r>
    </w:p>
    <w:p>
      <w:r>
        <w:t xml:space="preserve">3. Wires shall be tested in accordance with IS 10810.</w:t>
      </w:r>
    </w:p>
    <w:p>
      <w:r>
        <w:t xml:space="preserve">4. On completion, insulation resistance and earth continuity tests shall be carried out in accordance with IS 732.</w:t>
      </w:r>
    </w:p>
    <w:p>
      <w:r>
        <w:t xml:space="preserve">5. Wires, MCBs and RCCBs shall be ISI marked.</w:t>
      </w:r>
    </w:p>
    <w:p>
      <w:r>
        <w:t xml:space="preserve">6. The equipment shall be inspected by the Engineer-in-charge at the manufacturer's works before dispatch.</w:t>
      </w:r>
    </w:p>
    <w:p>
      <w:r>
        <w:t xml:space="preserve">7 DOCUMENTATION, WARRANTY AND TRAINING</w:t>
      </w:r>
    </w:p>
    <w:p>
      <w:r>
        <w:t xml:space="preserve">1. The contractor shall submit detailed shop drawings for approval within 21 days of award of work. Three sets of operation and maintenance manuals shall be handed over on completion.</w:t>
      </w:r>
    </w:p>
    <w:p>
      <w:r>
        <w:t xml:space="preserve">2. The complete installation shall be guaranteed against defective design, material and workmanship for a period of 12 months from the date of handing over.</w:t>
      </w:r>
    </w:p>
    <w:p>
      <w:r>
        <w:t xml:space="preserve">3. The contractor shall train the Department's operating staff in operation and routine maintenance.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APPROVED MAKES OF MATERIALS</w:t>
      </w:r>
    </w:p>
    <w:p>
      <w:r>
        <w:t xml:space="preserve">Cement: UltraTech / ACC / Ambuja; Steel: SAIL / TATA / JSW</w:t>
      </w:r>
    </w:p>
    <w:p>
      <w:r>
        <w:t xml:space="preserve">Wires: Polycab / Havells / Finolex; MCB/RCCB: Legrand / Schneider / Havells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