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MUNICIPAL CORPORATION</w:t>
      </w:r>
    </w:p>
    <w:p>
      <w:r>
        <w:t xml:space="preserve">निविदा आमंत्रण सूचना</w:t>
      </w:r>
    </w:p>
    <w:p>
      <w:r>
        <w:t xml:space="preserve">Office of the Executive Engineer, Project Division</w:t>
      </w:r>
    </w:p>
    <w:p>
      <w:r>
        <w:t xml:space="preserve">NOTICE INVITING e-TENDER No. CE/WS/91/2026-27</w:t>
      </w:r>
    </w:p>
    <w:p>
      <w:r>
        <w:t xml:space="preserve">Name of work: Construction of pump house with structural steel roof and electrical works.</w:t>
      </w:r>
    </w:p>
    <w:p>
      <w:r>
        <w:t xml:space="preserve">Estimated cost put to tender: Rs. 131,65,000/-</w:t>
      </w:r>
    </w:p>
    <w:p>
      <w:r>
        <w:t xml:space="preserve">Earnest Money Deposit: Rs. 3,30,000/-</w:t>
      </w:r>
    </w:p>
    <w:p>
      <w:r>
        <w:t xml:space="preserve">Period of completion: 18 months</w:t>
      </w:r>
    </w:p>
    <w:p>
      <w:r>
        <w:t xml:space="preserve">Last date of submission: 22.10.2026 up to 15:00 hrs</w:t>
      </w:r>
    </w:p>
    <w:p>
      <w:r>
        <w:t xml:space="preserve">SECTION I — INSTRUCTIONS TO TENDERERS</w:t>
      </w:r>
    </w:p>
    <w:p>
      <w:r>
        <w:t xml:space="preserve">1. The bid shall remain valid for 90 days from the date of opening of the technical bid.</w:t>
      </w:r>
    </w:p>
    <w:p>
      <w:r>
        <w:t xml:space="preserve">2. The bidder must be registered with the Department in the appropriate class.</w:t>
      </w:r>
    </w:p>
    <w:p>
      <w:r>
        <w:t xml:space="preserve">3. The bidder shall upload scanned copies of GST registration, PAN and audited balance sheets.</w:t>
      </w:r>
    </w:p>
    <w:p>
      <w:r>
        <w:t xml:space="preserve">4. The successful bidder shall furnish a performance guarantee of 5 % of the contract value within 15 days.</w:t>
      </w:r>
    </w:p>
    <w:p>
      <w:r>
        <w:t xml:space="preserve">5. The Department reserves the right to accept or reject any bid without assigning any reason.</w:t>
      </w:r>
    </w:p>
    <w:p>
      <w:r>
        <w:t xml:space="preserve">6. The bidder shall submit the EMD in the form of online payment or bank guarantee from a scheduled bank.</w:t>
      </w:r>
    </w:p>
    <w:p>
      <w:r>
        <w:t xml:space="preserve">GENERAL CONDITIONS OF CONTRACT</w:t>
      </w:r>
    </w:p>
    <w:p>
      <w:r>
        <w:t xml:space="preserve">1. All disputes shall be subject to arbitration under the Arbitration and Conciliation Act, 1996.</w:t>
      </w:r>
    </w:p>
    <w:p>
      <w:r>
        <w:t xml:space="preserve">2. Income tax and GST shall be deducted at source as applicable.</w:t>
      </w:r>
    </w:p>
    <w:p>
      <w:r>
        <w:t xml:space="preserve">3. Rates quoted shall be inclusive of all taxes, freight, insurance and transit risks.</w:t>
      </w:r>
    </w:p>
    <w:p>
      <w:r>
        <w:t xml:space="preserve">4. Liquidated damages at 0.5 % per week of delay shall be levied, subject to a maximum of 10 % of the contract value.</w:t>
      </w:r>
    </w:p>
    <w:p>
      <w:r>
        <w:t xml:space="preserve">SCOPE OF WORK</w:t>
      </w:r>
    </w:p>
    <w:p>
      <w:r>
        <w:t xml:space="preserve">This specification covers construction of pump house with structural steel roof and electrical works complete in all respects.</w:t>
      </w:r>
    </w:p>
    <w:p>
      <w:r>
        <w:t xml:space="preserve">3 SITE CONDITIONS</w:t>
      </w:r>
    </w:p>
    <w:p>
      <w:r>
        <w:t xml:space="preserve">3.1 Exposure condition shall be considered as severe for all members.</w:t>
      </w:r>
    </w:p>
    <w:p>
      <w:r>
        <w:t xml:space="preserve">SECTION 4: CONCRETE AND REINFORCEMENT</w:t>
      </w:r>
    </w:p>
    <w:p>
      <w:r>
        <w:t xml:space="preserve">4.1 Design and construction of RCC shall be in accordance with IS 456:2000.</w:t>
      </w:r>
    </w:p>
    <w:p>
      <w:r>
        <w:t xml:space="preserve">4.2 Grade of concrete for all structural members shall be M 30.</w:t>
      </w:r>
    </w:p>
    <w:p>
      <w:r>
        <w:t xml:space="preserve">4.3 Clear cover to main reinforcement shall be 45mm for all members.</w:t>
      </w:r>
    </w:p>
    <w:p>
      <w:r>
        <w:t xml:space="preserve">4.4 Maximum free water cement ratio shall be 0.45. Cement content shall not be less than 320 kg/m³ of concrete.</w:t>
      </w:r>
    </w:p>
    <w:p>
      <w:r>
        <w:t xml:space="preserve">4.5 OPC 43 grade cement as per IS 269:2015 shall be used.</w:t>
      </w:r>
    </w:p>
    <w:p>
      <w:r>
        <w:t xml:space="preserve">4.6 Aggregates shall comply with the requirements of IS 383:2016.</w:t>
      </w:r>
    </w:p>
    <w:p>
      <w:r>
        <w:t xml:space="preserve">4.7 High strength deformed bars of grade Fe 500D as per IS 1786:2008 shall be used. Mix design shall be carried out in accordance with IS 10262:2019.</w:t>
      </w:r>
    </w:p>
    <w:p>
      <w:r>
        <w:t xml:space="preserve">4.8 Concrete shall be kept continuously moist for at least 10 days. Compaction shall be done by immersion vibrators.</w:t>
      </w:r>
    </w:p>
    <w:p>
      <w:r>
        <w:t xml:space="preserve">PART E — STRUCTURAL STEEL WORK</w:t>
      </w:r>
    </w:p>
    <w:p>
      <w:r>
        <w:t xml:space="preserve">5.1 Rolled steel sections shall be E250 grade as per IS 2062:2011.</w:t>
      </w:r>
    </w:p>
    <w:p>
      <w:r>
        <w:t xml:space="preserve">5.2 Steel surfaces shall be painted with red oxide primer and two finishing coats.</w:t>
      </w:r>
    </w:p>
    <w:p>
      <w:r>
        <w:t xml:space="preserve">5.3 Welding shall be done by qualified welders using approved electrodes.</w:t>
      </w:r>
    </w:p>
    <w:p>
      <w:r>
        <w:t xml:space="preserve">PART F — INTERNAL WIRING AND EARTHING</w:t>
      </w:r>
    </w:p>
    <w:p>
      <w:r>
        <w:t xml:space="preserve">6.1 The internal wiring installation shall comply with IS 732:2019.</w:t>
      </w:r>
    </w:p>
    <w:p>
      <w:r>
        <w:t xml:space="preserve">6.2 Earthing arrangement of the installation shall be TN-S system.</w:t>
      </w:r>
    </w:p>
    <w:p>
      <w:r>
        <w:t xml:space="preserve">6.3 All wiring shall be drawn through heavy gauge PVC conduits recessed in walls.</w:t>
      </w:r>
    </w:p>
    <w:p>
      <w:r>
        <w:t xml:space="preserve">6.4 Building wires shall be 450/750 V grade PVC insulated multistrand copper conductor as per IS 694:2010. Minimum conductor size shall be 1.5 mm² for lighting points and 4 mm² for power points.</w:t>
      </w:r>
    </w:p>
    <w:p>
      <w:r>
        <w:t xml:space="preserve">6.5 MCBs shall be C-curve, as per IS/IEC 60898-1, with rated short circuit capacity of 10 kA.</w:t>
      </w:r>
    </w:p>
    <w:p>
      <w:r>
        <w:t xml:space="preserve">6.6 Final circuit MCBs shall be rated between 6 Amp and 32 Amp.</w:t>
      </w:r>
    </w:p>
    <w:p>
      <w:r>
        <w:t xml:space="preserve">6.7 Socket outlet circuits shall be protected by 30 mA RCCBs conforming to IS 12640 (Part 1). The earthing system shall be designed and installed as per IS 3043:2018.</w:t>
      </w:r>
    </w:p>
    <w:p>
      <w:r>
        <w:t xml:space="preserve">6.8 Main distribution board shall be earthed through two separate pipe earth electrodes.</w:t>
      </w:r>
    </w:p>
    <w:p>
      <w:r>
        <w:t xml:space="preserve">6.9 Combined resistance of the earthing system shall be less than 1 Ohm.</w:t>
      </w:r>
    </w:p>
    <w:p>
      <w:r>
        <w:t xml:space="preserve">7 TESTS AND INSPECTION</w:t>
      </w:r>
    </w:p>
    <w:p>
      <w:r>
        <w:t xml:space="preserve">7.1 Cube tests for compressive strength shall be done in accordance with IS 516 (Part 1/Sec 1):2021.</w:t>
      </w:r>
    </w:p>
    <w:p>
      <w:r>
        <w:t xml:space="preserve">7.2 Structural steel shall be accompanied by mill test certificates from the producer.</w:t>
      </w:r>
    </w:p>
    <w:p>
      <w:r>
        <w:t xml:space="preserve">7.3 Samples of wires shall be tested as per IS 10810 at the manufacturer's works.</w:t>
      </w:r>
    </w:p>
    <w:p>
      <w:r>
        <w:t xml:space="preserve">7.4 Tests shall be carried out on completion of the installation as per IS 732 and results recorded.</w:t>
      </w:r>
    </w:p>
    <w:p>
      <w:r>
        <w:t xml:space="preserve">7.5 All wires, MCBs and RCCBs shall bear the BIS Standard Mark.</w:t>
      </w:r>
    </w:p>
    <w:p>
      <w:r>
        <w:t xml:space="preserve">7.6 Pre-dispatch inspection shall be offered to the Department's authorised representative with 15 days notice.</w:t>
      </w:r>
    </w:p>
    <w:p>
      <w:r>
        <w:t xml:space="preserve">8 DOCUMENTATION, WARRANTY AND TRAINING</w:t>
      </w:r>
    </w:p>
    <w:p>
      <w:r>
        <w:t xml:space="preserve">8.1 Shop drawings and schematic diagrams shall be got approved from the Engineer-in-charge before manufacture.</w:t>
      </w:r>
    </w:p>
    <w:p>
      <w:r>
        <w:t xml:space="preserve">8.2 O&amp;M manuals, as-built drawings and catalogues shall be furnished in triplicate at the time of handing over.</w:t>
      </w:r>
    </w:p>
    <w:p>
      <w:r>
        <w:t xml:space="preserve">8.3 The supplier shall replace free of cost any part found defective within the defect liability period of 24 months.</w:t>
      </w:r>
    </w:p>
    <w:p>
      <w:r>
        <w:t xml:space="preserve">8.4 Training of two operators for one week shall be imparted by the supplier after commissioning.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Structural steel work in trusses and purlins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LIST OF APPROVED MAKES</w:t>
      </w:r>
    </w:p>
    <w:p>
      <w:r>
        <w:t xml:space="preserve">Cement: UltraTech / ACC / Ambuja; Steel: SAIL / TATA / JSW</w:t>
      </w:r>
    </w:p>
    <w:p>
      <w:r>
        <w:t xml:space="preserve">Steel: SAIL / TATA / JSW</w:t>
      </w:r>
    </w:p>
    <w:p>
      <w:r>
        <w:t xml:space="preserve">Wires: Polycab / Havells / Finolex; MCB/RCCB: Legrand / Schneider / Havells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