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RURAL WATER SUPPLY DEPARTMENT</w:t>
      </w:r>
    </w:p>
    <w:p>
      <w:r>
        <w:t xml:space="preserve">तकनीकी विशिष्टियाँ</w:t>
      </w:r>
    </w:p>
    <w:p>
      <w:r>
        <w:t xml:space="preserve">Office of the Executive Engineer, Project Division</w:t>
      </w:r>
    </w:p>
    <w:p>
      <w:r>
        <w:t xml:space="preserve">NOTICE INVITING e-TENDER No. CE/CIV/58/2026-27</w:t>
      </w:r>
    </w:p>
    <w:p>
      <w:r>
        <w:t xml:space="preserve">Name of work: Rural piped water supply scheme — pumping and treated water supply.</w:t>
      </w:r>
    </w:p>
    <w:p>
      <w:r>
        <w:t xml:space="preserve">Estimated cost put to tender: Rs. 329,59,000/-</w:t>
      </w:r>
    </w:p>
    <w:p>
      <w:r>
        <w:t xml:space="preserve">Earnest Money Deposit: Rs. 4,87,000/-</w:t>
      </w:r>
    </w:p>
    <w:p>
      <w:r>
        <w:t xml:space="preserve">Period of completion: 18 months</w:t>
      </w:r>
    </w:p>
    <w:p>
      <w:r>
        <w:t xml:space="preserve">Last date of submission: 20.10.2026 up to 15:00 hrs</w:t>
      </w:r>
    </w:p>
    <w:p>
      <w:r>
        <w:t xml:space="preserve">INSTRUCTIONS TO BIDDERS</w:t>
      </w:r>
    </w:p>
    <w:p>
      <w:r>
        <w:t xml:space="preserve">1. The bidder shall upload scanned copies of GST registration, PAN and audited balance sheets.</w:t>
      </w:r>
    </w:p>
    <w:p>
      <w:r>
        <w:t xml:space="preserve">2. The bid shall remain valid for 90 days from the date of opening of the technical bid.</w:t>
      </w:r>
    </w:p>
    <w:p>
      <w:r>
        <w:t xml:space="preserve">3. The bidder must be registered with the Department in the appropriate class.</w:t>
      </w:r>
    </w:p>
    <w:p>
      <w:r>
        <w:t xml:space="preserve">4. The bidder shall submit the EMD in the form of online payment or bank guarantee from a scheduled bank.</w:t>
      </w:r>
    </w:p>
    <w:p>
      <w:r>
        <w:t xml:space="preserve">5. Bids received after the due date and time shall not be considered.</w:t>
      </w:r>
    </w:p>
    <w:p>
      <w:r>
        <w:t xml:space="preserve">6. Conditional bids will be summarily rejected.</w:t>
      </w:r>
    </w:p>
    <w:p>
      <w:r>
        <w:t xml:space="preserve">COMMERCIAL TERMS AND CONDITIONS</w:t>
      </w:r>
    </w:p>
    <w:p>
      <w:r>
        <w:t xml:space="preserve">1. Payment shall be made within 30 days of receipt of bills duly certified by the Engineer-in-charge.</w:t>
      </w:r>
    </w:p>
    <w:p>
      <w:r>
        <w:t xml:space="preserve">2. All disputes shall be subject to arbitration under the Arbitration and Conciliation Act, 1996.</w:t>
      </w:r>
    </w:p>
    <w:p>
      <w:r>
        <w:t xml:space="preserve">3. Liquidated damages at 0.5 % per week of delay shall be levied, subject to a maximum of 10 % of the contract value.</w:t>
      </w:r>
    </w:p>
    <w:p>
      <w:r>
        <w:t xml:space="preserve">SCOPE OF WORK</w:t>
      </w:r>
    </w:p>
    <w:p>
      <w:r>
        <w:t xml:space="preserve">This specification covers rural piped water supply scheme — pumping and treated water supply complete in all respects.</w:t>
      </w:r>
    </w:p>
    <w:p>
      <w:r>
        <w:t xml:space="preserve">PART C — HORIZONTAL CENTRIFUGAL PUMPS</w:t>
      </w:r>
    </w:p>
    <w:p>
      <w:r>
        <w:t xml:space="preserve">(a) Horizontal centrifugal pumps for clear cold water shall comply with IS 1520:1980.</w:t>
      </w:r>
    </w:p>
    <w:p>
      <w:r>
        <w:t xml:space="preserve">(b) Duty point of each pump shall be 250 m³/h discharge at 45 metres total dynamic head.</w:t>
      </w:r>
    </w:p>
    <w:p>
      <w:r>
        <w:t xml:space="preserve">(c) Guaranteed pump efficiency at the rated duty shall be minimum 78 percent.</w:t>
      </w:r>
    </w:p>
    <w:p>
      <w:r>
        <w:t xml:space="preserve">(d) Pump casing shall be CI and impeller of leaded tin bronze.</w:t>
      </w:r>
    </w:p>
    <w:p>
      <w:r>
        <w:t xml:space="preserve">(e) Sound pressure level shall be limited to 85 dB(A) at 1 metres distance.</w:t>
      </w:r>
    </w:p>
    <w:p>
      <w:r>
        <w:t xml:space="preserve">PUMP DATA SHEET</w:t>
      </w:r>
    </w:p>
    <w:tbl>
      <w:tr>
        <w:tc>
          <w:p>
            <w:r>
              <w:t xml:space="preserve">Rated discharge</w:t>
            </w:r>
          </w:p>
        </w:tc>
        <w:tc>
          <w:p>
            <w:r>
              <w:t xml:space="preserve">250 m³/h</w:t>
            </w:r>
          </w:p>
        </w:tc>
      </w:tr>
      <w:tr>
        <w:tc>
          <w:p>
            <w:r>
              <w:t xml:space="preserve">Total dynamic head</w:t>
            </w:r>
          </w:p>
        </w:tc>
        <w:tc>
          <w:p>
            <w:r>
              <w:t xml:space="preserve">45 metres</w:t>
            </w:r>
          </w:p>
        </w:tc>
      </w:tr>
      <w:tr>
        <w:tc>
          <w:p>
            <w:r>
              <w:t xml:space="preserve">Make and type</w:t>
            </w:r>
          </w:p>
        </w:tc>
        <w:tc>
          <w:p>
            <w:r>
              <w:t xml:space="preserve">(to be furnished by the bidder)</w:t>
            </w:r>
          </w:p>
        </w:tc>
      </w:tr>
    </w:tbl>
    <w:p>
      <w:r>
        <w:t xml:space="preserve">4 TECHNICAL SPECIFICATION — DRIVE MOTORS</w:t>
      </w:r>
    </w:p>
    <w:p>
      <w:r>
        <w:t xml:space="preserve">(a) The drive motor shall be a three phase TEFC squirrel cage induction motor as per IS 325:1996.</w:t>
      </w:r>
    </w:p>
    <w:p>
      <w:r>
        <w:t xml:space="preserve">(b) MOTOR RATING SHALL BE 37 KW CONTINUOUS. Motors shall operate satisfactorily on a supply of 415 Volt ± 10 percent and 50 c/s ± 5 percent.</w:t>
      </w:r>
    </w:p>
    <w:p>
      <w:r>
        <w:t xml:space="preserve">(c) The motor shall be premium efficiency IE3 conforming to IS 12615:2018.</w:t>
      </w:r>
    </w:p>
    <w:p>
      <w:r>
        <w:t xml:space="preserve">(d) Motor enclosure shall be totally enclosed fan cooled with IP 55 protection.</w:t>
      </w:r>
    </w:p>
    <w:p>
      <w:r>
        <w:t xml:space="preserve">(e) Insulation shall be class F and the motor shall be rated for S1 continuous duty.</w:t>
      </w:r>
    </w:p>
    <w:p>
      <w:r>
        <w:t xml:space="preserve">(f) Motor speed shall be 1500 RPM (4 pole).</w:t>
      </w:r>
    </w:p>
    <w:p>
      <w:r>
        <w:t xml:space="preserve">PART E — TREATED WATER QUALITY</w:t>
      </w:r>
    </w:p>
    <w:p>
      <w:r>
        <w:t xml:space="preserve">(a) The quality of water supplied shall meet IS 10500:2012. pH value: 6.5 to 8.5</w:t>
      </w:r>
    </w:p>
    <w:p>
      <w:r>
        <w:t xml:space="preserve">(b) TDS of supplied water shall be within 500 mg/litre.</w:t>
      </w:r>
    </w:p>
    <w:p>
      <w:r>
        <w:t xml:space="preserve">(c) Turbidity of treated water shall be limited to 1 NTU. Fluoride content shall be within 1.0 mg/litre.</w:t>
      </w:r>
    </w:p>
    <w:p>
      <w:r>
        <w:t xml:space="preserve">(d) Nitrate as NO3 shall be less than 45 mg/litre.</w:t>
      </w:r>
    </w:p>
    <w:p>
      <w:r>
        <w:t xml:space="preserve">(e) Arsenic content in supplied water shall be less than 0.05 mg/litre.</w:t>
      </w:r>
    </w:p>
    <w:p>
      <w:r>
        <w:t xml:space="preserve">(f) Total hardness shall be within 200 mg/litre as CaCO3.</w:t>
      </w:r>
    </w:p>
    <w:p>
      <w:r>
        <w:t xml:space="preserve">(g) Total coliforms shall be absent in any 100 ml sample.</w:t>
      </w:r>
    </w:p>
    <w:p>
      <w:r>
        <w:t xml:space="preserve">6 TESTS AND INSPECTION</w:t>
      </w:r>
    </w:p>
    <w:p>
      <w:r>
        <w:t xml:space="preserve">(a) Performance tests on each pump shall be conducted as per IS 9137 in the presence of the Engineer. Each motor shall be subjected to routine tests in accordance with IS 4029.</w:t>
      </w:r>
    </w:p>
    <w:p>
      <w:r>
        <w:t xml:space="preserve">(b) Motors shall be BIS certified and test certificates shall be furnished.</w:t>
      </w:r>
    </w:p>
    <w:p>
      <w:r>
        <w:t xml:space="preserve">(c) Physico-chemical tests shall follow IS 3025 and bacteriological examination shall follow IS 1622. Pre-dispatch inspection shall be offered to the Department's authorised representative with 15 days notice.</w:t>
      </w:r>
    </w:p>
    <w:p>
      <w:r>
        <w:t xml:space="preserve">7 DOCUMENTATION, WARRANTY AND TRAINING</w:t>
      </w:r>
    </w:p>
    <w:p>
      <w:r>
        <w:t xml:space="preserve">(a) MONTHLY WATER QUALITY REPORTS SHALL BE FURNISHED TO THE DEPARTMENT.</w:t>
      </w:r>
    </w:p>
    <w:p>
      <w:r>
        <w:t xml:space="preserve">(b) Shop drawings and schematic diagrams shall be got approved from the Engineer-in-charge before manufacture.</w:t>
      </w:r>
    </w:p>
    <w:p>
      <w:r>
        <w:t xml:space="preserve">(c) O&amp;M manuals, as-built drawings and catalogues shall be furnished in triplicate at the time of handing over.</w:t>
      </w:r>
    </w:p>
    <w:p>
      <w:r>
        <w:t xml:space="preserve">(d) The supplier shall replace free of cost any part found defective within the defect liability period of 24 months.</w:t>
      </w:r>
    </w:p>
    <w:p>
      <w:r>
        <w:t xml:space="preserve">(e) Training of two operators for one week shall be imparted by the supplier after commissioning.</w:t>
      </w:r>
    </w:p>
    <w:p>
      <w:r>
        <w:t xml:space="preserve">BILL OF QUANTITIES</w:t>
      </w:r>
    </w:p>
    <w:tbl>
      <w:tr>
        <w:tc>
          <w:p>
            <w:r>
              <w:t xml:space="preserve">Sl. No.</w:t>
            </w:r>
          </w:p>
        </w:tc>
        <w:tc>
          <w:p>
            <w:r>
              <w:t xml:space="preserve">Description</w:t>
            </w:r>
          </w:p>
        </w:tc>
        <w:tc>
          <w:p>
            <w:r>
              <w:t xml:space="preserve">Unit</w:t>
            </w:r>
          </w:p>
        </w:tc>
        <w:tc>
          <w:p>
            <w:r>
              <w:t xml:space="preserve">Qty</w:t>
            </w:r>
          </w:p>
        </w:tc>
      </w:tr>
      <w:tr>
        <w:tc>
          <w:p>
            <w:r>
              <w:t xml:space="preserve">1</w:t>
            </w:r>
          </w:p>
        </w:tc>
        <w:tc>
          <w:p>
            <w:r>
              <w:t xml:space="preserve">Horizontal centrifugal pumpset 250 m3/hr at 45 m</w:t>
            </w:r>
          </w:p>
        </w:tc>
        <w:tc>
          <w:p>
            <w:r>
              <w:t xml:space="preserve">Set</w:t>
            </w:r>
          </w:p>
        </w:tc>
        <w:tc>
          <w:p>
            <w:r>
              <w:t xml:space="preserve">3</w:t>
            </w:r>
          </w:p>
        </w:tc>
      </w:tr>
      <w:tr>
        <w:tc>
          <w:p>
            <w:r>
              <w:t xml:space="preserve">2</w:t>
            </w:r>
          </w:p>
        </w:tc>
        <w:tc>
          <w:p>
            <w:r>
              <w:t xml:space="preserve">Squirrel cage induction motor 37 kW, 1500 rpm</w:t>
            </w:r>
          </w:p>
        </w:tc>
        <w:tc>
          <w:p>
            <w:r>
              <w:t xml:space="preserve">No.</w:t>
            </w:r>
          </w:p>
        </w:tc>
        <w:tc>
          <w:p>
            <w:r>
              <w:t xml:space="preserve">3</w:t>
            </w:r>
          </w:p>
        </w:tc>
      </w:tr>
    </w:tbl>
    <w:p>
      <w:r>
        <w:t xml:space="preserve">3 | Water quality testing (complete set of parameters) | Sample | 48</w:t>
      </w:r>
    </w:p>
    <w:p>
      <w:r>
        <w:t xml:space="preserve">LIST OF APPROVED MAKES</w:t>
      </w:r>
    </w:p>
    <w:p>
      <w:r>
        <w:t xml:space="preserve">Pumps: Kirloskar Brothers / KSB / Mather &amp; Platt</w:t>
      </w:r>
    </w:p>
    <w:p>
      <w:r>
        <w:t xml:space="preserve">Motors: ABB / Siemens / Crompton Greaves / Kirloskar</w:t>
      </w:r>
    </w:p>
    <w:p>
      <w:r>
        <w:t xml:space="preserve">Testing laboratory: NABL accredited</w:t>
      </w:r>
    </w:p>
    <w:p>
      <w:r>
        <w:t xml:space="preserve">Note: Drawings are indicative only and shall be verified at site.</w:t>
      </w:r>
    </w:p>
    <w:p>
      <w:r>
        <w:t xml:space="preserve">Note: In case of any discrepancy between drawings and specifications, the decision of the Engineer-in-charge shall be final.</w:t>
      </w:r>
    </w:p>
    <w:p>
      <w:r>
        <w:t xml:space="preserve">Signature of Bidder with seal</w:t>
      </w:r>
    </w:p>
    <w:p>
      <w:r>
        <w:t xml:space="preserve">Executive Engineer</w:t>
      </w:r>
    </w:p>
  </w:body>
</w:document>
</file>