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PUBLIC WORKS DEPARTMENT</w:t>
      </w:r>
    </w:p>
    <w:p>
      <w:r>
        <w:t xml:space="preserve">Office of the Executive Engineer, Division No. 2</w:t>
      </w:r>
    </w:p>
    <w:p>
      <w:r>
        <w:t xml:space="preserve">NOTICE INVITING e-TENDER No. CE/CIV/22/2026-27</w:t>
      </w:r>
    </w:p>
    <w:p>
      <w:r>
        <w:t xml:space="preserve">Name of work: Internal electrification including wiring, distribution boards and earthing.</w:t>
      </w:r>
    </w:p>
    <w:p>
      <w:r>
        <w:t xml:space="preserve">Estimated cost put to tender: Rs. 261,21,000/-</w:t>
      </w:r>
    </w:p>
    <w:p>
      <w:r>
        <w:t xml:space="preserve">Earnest Money Deposit: Rs. 4,55,000/-</w:t>
      </w:r>
    </w:p>
    <w:p>
      <w:r>
        <w:t xml:space="preserve">Period of completion: 18 months</w:t>
      </w:r>
    </w:p>
    <w:p>
      <w:r>
        <w:t xml:space="preserve">Last date of submission: 14.10.2026 up to 15:00 hrs</w:t>
      </w:r>
    </w:p>
    <w:p>
      <w:r>
        <w:t xml:space="preserve">INSTRUCTIONS TO BIDDERS</w:t>
      </w:r>
    </w:p>
    <w:p>
      <w:r>
        <w:t xml:space="preserve">1. The tender documents may be downloaded from the e-procurement portal of the Government.</w:t>
      </w:r>
    </w:p>
    <w:p>
      <w:r>
        <w:t xml:space="preserve">2. The bidder shall submit the EMD in the form of online payment or bank guarantee from a scheduled bank.</w:t>
      </w:r>
    </w:p>
    <w:p>
      <w:r>
        <w:t xml:space="preserve">3. Conditional bids will be summarily rejected.</w:t>
      </w:r>
    </w:p>
    <w:p>
      <w:r>
        <w:t xml:space="preserve">4. The bid shall remain valid for 90 days from the date of opening of the technical bid.</w:t>
      </w:r>
    </w:p>
    <w:p>
      <w:r>
        <w:t xml:space="preserve">GENERAL CONDITIONS OF CONTRACT</w:t>
      </w:r>
    </w:p>
    <w:p>
      <w:r>
        <w:t xml:space="preserve">1. The contractor shall comply with all labour laws and the provisions of the Contract Labour Act.</w:t>
      </w:r>
    </w:p>
    <w:p>
      <w:r>
        <w:t xml:space="preserve">2. Liquidated damages at 0.5 % per week of delay shall be levied, subject to a maximum of 10 % of the contract value.</w:t>
      </w:r>
    </w:p>
    <w:p>
      <w:r>
        <w:t xml:space="preserve">3. All disputes shall be subject to arbitration under the Arbitration and Conciliation Act, 1996.</w:t>
      </w:r>
    </w:p>
    <w:p>
      <w:r>
        <w:t xml:space="preserve">SCOPE OF WORK</w:t>
      </w:r>
    </w:p>
    <w:p>
      <w:r>
        <w:t xml:space="preserve">This specification covers internal electrification including wiring, distribution boards and earthing complete in all respects.</w:t>
      </w:r>
    </w:p>
    <w:p>
      <w:r>
        <w:t xml:space="preserve">PART C — INTERNAL WIRING AND EARTHING</w:t>
      </w:r>
    </w:p>
    <w:p>
      <w:r>
        <w:t xml:space="preserve">(a) The internal wiring installation shall comply with IS 732:2019.</w:t>
      </w:r>
    </w:p>
    <w:p>
      <w:r>
        <w:t xml:space="preserve">(b) Earthing arrangement of the installation shall be TN-S system.</w:t>
      </w:r>
    </w:p>
    <w:p>
      <w:r>
        <w:t xml:space="preserve">(c) All wiring shall be drawn through heavy gauge PVC conduits recessed in walls. All enclosures shall be of adequate size to accommodate the equipment.</w:t>
      </w:r>
    </w:p>
    <w:p>
      <w:r>
        <w:t xml:space="preserve">(d) Building wires shall be 1100 V grade PVC insulated multistrand copper conductor as per IS 694:2010.</w:t>
      </w:r>
    </w:p>
    <w:p>
      <w:r>
        <w:t xml:space="preserve">(e) Minimum conductor size shall be 1.5 Sq.mm for lighting points and 4 Sq.mm for power points.</w:t>
      </w:r>
    </w:p>
    <w:p>
      <w:r>
        <w:t xml:space="preserve">(f) MCBs shall be C-curve, as per IS/IEC 60898-1, with rated short circuit capacity of 10 kA.</w:t>
      </w:r>
    </w:p>
    <w:p>
      <w:r>
        <w:t xml:space="preserve">(g) Final circuit MCBs shall be rated between 6 Amps and 32 Amps.</w:t>
      </w:r>
    </w:p>
    <w:p>
      <w:r>
        <w:t xml:space="preserve">(h) Socket outlet circuits shall be protected by 30 mA RCCBs conforming to IS 12640 (Part 1). The earthing system shall be designed and installed as per IS 3043:2018.</w:t>
      </w:r>
    </w:p>
    <w:p>
      <w:r>
        <w:t xml:space="preserve">(i) Main distribution board shall be earthed through two separate pipe earth electrodes.</w:t>
      </w:r>
    </w:p>
    <w:p>
      <w:r>
        <w:t xml:space="preserve">(j) Combined resistance of the earthing system shall be less than 1 Ohm.</w:t>
      </w:r>
    </w:p>
    <w:p>
      <w:r>
        <w:t xml:space="preserve">4 TESTS AND INSPECTION</w:t>
      </w:r>
    </w:p>
    <w:p>
      <w:r>
        <w:t xml:space="preserve">(a) Samples of wires shall be tested as per IS 10810 at the manufacturer's works.</w:t>
      </w:r>
    </w:p>
    <w:p>
      <w:r>
        <w:t xml:space="preserve">(b) The complete wiring shall be tested before handing over.</w:t>
      </w:r>
    </w:p>
    <w:p>
      <w:r>
        <w:t xml:space="preserve">(c) Pre-dispatch inspection shall be offered to the Department's authorised representative with 15 days notice.</w:t>
      </w:r>
    </w:p>
    <w:p>
      <w:r>
        <w:t xml:space="preserve">5 DOCUMENTATION, WARRANTY AND TRAINING</w:t>
      </w:r>
    </w:p>
    <w:p>
      <w:r>
        <w:t xml:space="preserve">(a) Shop drawings and schematic diagrams shall be got approved from the Engineer-in-charge before manufacture.</w:t>
      </w:r>
    </w:p>
    <w:p>
      <w:r>
        <w:t xml:space="preserve">(b) O&amp;M manuals, as-built drawings and catalogues shall be furnished in triplicate at the time of handing over.</w:t>
      </w:r>
    </w:p>
    <w:p>
      <w:r>
        <w:t xml:space="preserve">(c) The supplier shall replace free of cost any part found defective within the defect liability period of 24 months.</w:t>
      </w:r>
    </w:p>
    <w:p>
      <w:r>
        <w:t xml:space="preserve">(d) Training of two operators for one week shall be imparted by the supplier after commissioning.</w:t>
      </w:r>
    </w:p>
    <w:p>
      <w:r>
        <w:t xml:space="preserve">SCHEDULE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Point wiring for light point with 1.5 sq mm FR PVC wire</w:t>
            </w:r>
          </w:p>
        </w:tc>
        <w:tc>
          <w:p>
            <w:r>
              <w:t xml:space="preserve">Point</w:t>
            </w:r>
          </w:p>
        </w:tc>
        <w:tc>
          <w:p>
            <w:r>
              <w:t xml:space="preserve">240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4 way SPN distribution board</w:t>
            </w:r>
          </w:p>
        </w:tc>
        <w:tc>
          <w:p>
            <w:r>
              <w:t xml:space="preserve">No.</w:t>
            </w:r>
          </w:p>
        </w:tc>
        <w:tc>
          <w:p>
            <w:r>
              <w:t xml:space="preserve">16</w:t>
            </w:r>
          </w:p>
        </w:tc>
      </w:tr>
    </w:tbl>
    <w:p>
      <w:r>
        <w:t xml:space="preserve">LIST OF APPROVED MAKES</w:t>
      </w:r>
    </w:p>
    <w:p>
      <w:r>
        <w:t xml:space="preserve">Wires: Polycab / Havells / Finolex; MCB/RCCB: Legrand / Schneider / Havells</w:t>
      </w:r>
    </w:p>
    <w:p>
      <w:r>
        <w:t xml:space="preserve">Note: In case of any discrepancy between drawings and specifications, the decision of the Engineer-in-charge shall be final.</w:t>
      </w:r>
    </w:p>
    <w:p>
      <w:r>
        <w:t xml:space="preserve">Note: Drawings are indicative only and shall be verified at site.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