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JAL NIGAM</w:t>
      </w:r>
    </w:p>
    <w:p>
      <w:r>
        <w:t xml:space="preserve">निविदा आमंत्रण सूचना</w:t>
      </w:r>
    </w:p>
    <w:p>
      <w:r>
        <w:t xml:space="preserve">Office of the Executive Engineer, Electrical Division</w:t>
      </w:r>
    </w:p>
    <w:p>
      <w:r>
        <w:t xml:space="preserve">NOTICE INVITING e-TENDER No. SE/CIV/23/2026-27</w:t>
      </w:r>
    </w:p>
    <w:p>
      <w:r>
        <w:t xml:space="preserve">Name of work: Design, supply and commissioning of raw water pumping machinery.</w:t>
      </w:r>
    </w:p>
    <w:p>
      <w:r>
        <w:t xml:space="preserve">Estimated cost put to tender: Rs. 303,92,000/-</w:t>
      </w:r>
    </w:p>
    <w:p>
      <w:r>
        <w:t xml:space="preserve">Earnest Money Deposit: Rs. 1,55,000/-</w:t>
      </w:r>
    </w:p>
    <w:p>
      <w:r>
        <w:t xml:space="preserve">Period of completion: 12 months</w:t>
      </w:r>
    </w:p>
    <w:p>
      <w:r>
        <w:t xml:space="preserve">Last date of submission: 12.11.2026 up to 15:00 hrs</w:t>
      </w:r>
    </w:p>
    <w:p>
      <w:r>
        <w:t xml:space="preserve">PART A — INSTRUCTIONS TO BIDDERS</w:t>
      </w:r>
    </w:p>
    <w:p>
      <w:r>
        <w:t xml:space="preserve">1. The successful bidder shall furnish a performance guarantee of 5 % of the contract value within 15 days.</w:t>
      </w:r>
    </w:p>
    <w:p>
      <w:r>
        <w:t xml:space="preserve">2. The bidder shall upload scanned copies of GST registration, PAN and audited balance sheets.</w:t>
      </w:r>
    </w:p>
    <w:p>
      <w:r>
        <w:t xml:space="preserve">3. The bid shall remain valid for 90 days from the date of opening of the technical bid.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SPECIAL CONDITIONS OF CONTRACT</w:t>
      </w:r>
    </w:p>
    <w:p>
      <w:r>
        <w:t xml:space="preserve">1. The contractor shall indemnify the Department against all claims arising out of the work.</w:t>
      </w:r>
    </w:p>
    <w:p>
      <w:r>
        <w:t xml:space="preserve">2. Payment shall be made within 30 days of receipt of bills duly certified by the Engineer-in-charge.</w:t>
      </w:r>
    </w:p>
    <w:p>
      <w:r>
        <w:t xml:space="preserve">3. Liquidated damages at 0.5 % per week of delay shall be levied, subject to a maximum of 10 % of the contract value.</w:t>
      </w:r>
    </w:p>
    <w:p>
      <w:r>
        <w:t xml:space="preserve">4. The contractor shall comply with all labour laws and the provisions of the Contract Labour Act.</w:t>
      </w:r>
    </w:p>
    <w:p>
      <w:r>
        <w:t xml:space="preserve">5. Income tax and GST shall be deducted at source as applicable.</w:t>
      </w:r>
    </w:p>
    <w:p>
      <w:r>
        <w:t xml:space="preserve">SCOPE OF WORK</w:t>
      </w:r>
    </w:p>
    <w:p>
      <w:r>
        <w:t xml:space="preserve">This specification covers design, supply and commissioning of raw water pumping machinery complete in all respects.</w:t>
      </w:r>
    </w:p>
    <w:p>
      <w:r>
        <w:t xml:space="preserve">3 TECHNICAL SPECIFICATION — HORIZONTAL CENTRIFUGAL PUMPS</w:t>
      </w:r>
    </w:p>
    <w:p>
      <w:r>
        <w:t xml:space="preserve">1. Horizontal centrifugal pumps for clear cold water shall comply with IS 1520:1980.</w:t>
      </w:r>
    </w:p>
    <w:p>
      <w:r>
        <w:t xml:space="preserve">2. Duty point of each pump shall be 250 m3/hr discharge at 45 mtrs total dynamic head.</w:t>
      </w:r>
    </w:p>
    <w:p>
      <w:r>
        <w:t xml:space="preserve">3. Pump casing shall be CI and impeller of leaded tin bronze.</w:t>
      </w:r>
    </w:p>
    <w:p>
      <w:r>
        <w:t xml:space="preserve">4. Sound pressure level shall be limited to 85 dB(A) at 1 mtrs distance.</w:t>
      </w:r>
    </w:p>
    <w:p>
      <w:r>
        <w:t xml:space="preserve">PUMP DATA SHEET</w:t>
      </w:r>
    </w:p>
    <w:tbl>
      <w:tr>
        <w:tc>
          <w:p>
            <w:r>
              <w:t xml:space="preserve">Rated discharge</w:t>
            </w:r>
          </w:p>
        </w:tc>
        <w:tc>
          <w:p>
            <w:r>
              <w:t xml:space="preserve">250 m3/hr</w:t>
            </w:r>
          </w:p>
        </w:tc>
      </w:tr>
      <w:tr>
        <w:tc>
          <w:p>
            <w:r>
              <w:t xml:space="preserve">Total dynamic head</w:t>
            </w:r>
          </w:p>
        </w:tc>
        <w:tc>
          <w:p>
            <w:r>
              <w:t xml:space="preserve">45 mtrs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4 TECHNICAL SPECIFICATION — DRIVE MOTORS</w:t>
      </w:r>
    </w:p>
    <w:p>
      <w:r>
        <w:t xml:space="preserve">1. The drive motor shall be a three phase TEFC squirrel cage induction motor as per IS 325:1996.</w:t>
      </w:r>
    </w:p>
    <w:p>
      <w:r>
        <w:t xml:space="preserve">2. Motor rating shall be 37 KW continuous.</w:t>
      </w:r>
    </w:p>
    <w:p>
      <w:r>
        <w:t xml:space="preserve">3. Motors shall operate satisfactorily on a supply of 415 V ± 10 per cent and 50 Hz ± 5 per cent. The motor shall be premium efficiency IE3 conforming to IS 12615:2018.</w:t>
      </w:r>
    </w:p>
    <w:p>
      <w:r>
        <w:t xml:space="preserve">4. Motor enclosure shall be totally enclosed fan cooled with IP 55 protection.</w:t>
      </w:r>
    </w:p>
    <w:p>
      <w:r>
        <w:t xml:space="preserve">5. Insulation shall be class F and the motor shall be rated for S1 continuous duty.</w:t>
      </w:r>
    </w:p>
    <w:p>
      <w:r>
        <w:t xml:space="preserve">6. Motor speed shall be 1500 r.p.m. (4 pole).</w:t>
      </w:r>
    </w:p>
    <w:p>
      <w:r>
        <w:t xml:space="preserve">SECTION 5: LT POWER AND CONTROL CABLES</w:t>
      </w:r>
    </w:p>
    <w:p>
      <w:r>
        <w:t xml:space="preserve">1. LT power cables shall be XLPE insulated 1.1 kV grade armoured cables with aluminium conductors as per IS 7098 (Part 1):1988.</w:t>
      </w:r>
    </w:p>
    <w:p>
      <w:r>
        <w:t xml:space="preserve">2. Size of the incoming feeder cable shall be 3.5 core x 300 sq mm.</w:t>
      </w:r>
    </w:p>
    <w:p>
      <w:r>
        <w:t xml:space="preserve">3. Continuous conductor operating temperature of XLPE cables shall be 90 Deg.C.</w:t>
      </w:r>
    </w:p>
    <w:p>
      <w:r>
        <w:t xml:space="preserve">4. Copper control cables of 2.5 sq mm shall be PVC insulated heavy duty type as per IS 1554 (Part 1).</w:t>
      </w:r>
    </w:p>
    <w:p>
      <w:r>
        <w:t xml:space="preserve">5. Cable conductors shall meet the resistance requirements of IS 8130 for class 2 conductors. Cables shall be laid directly in ground at a depth of 750 mm. with brick protection.</w:t>
      </w:r>
    </w:p>
    <w:p>
      <w:r>
        <w:t xml:space="preserve">6. Terminations shall be made with brass double compression glands and tinned copper lugs. Cable drums shall carry marking of size, type, length and manufacturer's name.</w:t>
      </w:r>
    </w:p>
    <w:p>
      <w:r>
        <w:t xml:space="preserve">6 TESTS AND INSPECTION</w:t>
      </w:r>
    </w:p>
    <w:p>
      <w:r>
        <w:t xml:space="preserve">1. Performance tests on each pump shall be conducted as per IS 9137 in the presence of the Engineer.</w:t>
      </w:r>
    </w:p>
    <w:p>
      <w:r>
        <w:t xml:space="preserve">2. Pumps shall carry the BIS Standard Mark.</w:t>
      </w:r>
    </w:p>
    <w:p>
      <w:r>
        <w:t xml:space="preserve">3. Each motor shall be subjected to routine tests in accordance with IS 4029.</w:t>
      </w:r>
    </w:p>
    <w:p>
      <w:r>
        <w:t xml:space="preserve">4. Acceptance tests on cables shall be carried out as per IS 10810 in presence of the Engineer.</w:t>
      </w:r>
    </w:p>
    <w:p>
      <w:r>
        <w:t xml:space="preserve">5. Manufacturer's test certificates shall accompany every cable drum supplied. Pre-dispatch inspection shall be offered to the Department's authorised representative with 15 days notice.</w:t>
      </w:r>
    </w:p>
    <w:p>
      <w:r>
        <w:t xml:space="preserve">7 DOCUMENTATION, WARRANTY AND TRAINING</w:t>
      </w:r>
    </w:p>
    <w:p>
      <w:r>
        <w:t xml:space="preserve">1. Shop drawings and schematic diagrams shall be got approved from the Engineer-in-charge before manufacture. O&amp;M manuals, as-built drawings and catalogues shall be furnished in triplicate at the time of handing over.</w:t>
      </w:r>
    </w:p>
    <w:p>
      <w:r>
        <w:t xml:space="preserve">2. The supplier shall replace free of cost any part found defective within the defect liability period of 24 months.</w:t>
      </w:r>
    </w:p>
    <w:p>
      <w:r>
        <w:t xml:space="preserve">3.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Horizontal centrifugal pumpset 250 m3/hr at 45 m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Pumps: Kirloskar Brothers / KSB / Mather &amp; Platt</w:t>
      </w:r>
    </w:p>
    <w:p>
      <w:r>
        <w:t xml:space="preserve">Motors: ABB / Siemens / Crompton Greaves / Kirloskar</w:t>
      </w:r>
    </w:p>
    <w:p>
      <w:r>
        <w:t xml:space="preserve">Cables: Polycab / KEI / Havells / RR Kabel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