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CENTRAL PUBLIC WORKS DEPARTMENT</w:t>
      </w:r>
    </w:p>
    <w:p>
      <w:r>
        <w:t xml:space="preserve">Office of the Executive Engineer, Division No. 2</w:t>
      </w:r>
    </w:p>
    <w:p>
      <w:r>
        <w:t xml:space="preserve">NOTICE INVITING e-TENDER No. CE/ELE/23/2026-27</w:t>
      </w:r>
    </w:p>
    <w:p>
      <w:r>
        <w:t xml:space="preserve">Name of work: Supply, installation, testing and commissioning of LT electrical distribution system.</w:t>
      </w:r>
    </w:p>
    <w:p>
      <w:r>
        <w:t xml:space="preserve">Estimated cost put to tender: Rs. 413,55,000/-</w:t>
      </w:r>
    </w:p>
    <w:p>
      <w:r>
        <w:t xml:space="preserve">Earnest Money Deposit: Rs. 3,79,000/-</w:t>
      </w:r>
    </w:p>
    <w:p>
      <w:r>
        <w:t xml:space="preserve">Period of completion: 6 months</w:t>
      </w:r>
    </w:p>
    <w:p>
      <w:r>
        <w:t xml:space="preserve">Last date of submission: 19.11.2026 up to 15:00 hrs</w:t>
      </w:r>
    </w:p>
    <w:p>
      <w:r>
        <w:t xml:space="preserve">INSTRUCTIONS TO BIDDERS</w:t>
      </w:r>
    </w:p>
    <w:p>
      <w:r>
        <w:t xml:space="preserve">1. The bidder shall upload scanned copies of GST registration, PAN and audited balance sheets.</w:t>
      </w:r>
    </w:p>
    <w:p>
      <w:r>
        <w:t xml:space="preserve">2. The Department reserves the right to accept or reject any bid without assigning any reason.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tender documents may be downloaded from the e-procurement portal of the Government.</w:t>
      </w:r>
    </w:p>
    <w:p>
      <w:r>
        <w:t xml:space="preserve">GENERAL CONDITIONS OF CONTRACT</w:t>
      </w:r>
    </w:p>
    <w:p>
      <w:r>
        <w:t xml:space="preserve">1. Liquidated damages at 0.5 % per week of delay shall be levied, subject to a maximum of 10 % of the contract value.</w:t>
      </w:r>
    </w:p>
    <w:p>
      <w:r>
        <w:t xml:space="preserve">2. Income tax and GST shall be deducted at source as applicable.</w:t>
      </w:r>
    </w:p>
    <w:p>
      <w:r>
        <w:t xml:space="preserve">3. Rates quoted shall be inclusive of all taxes, freight, insurance and transit risks.</w:t>
      </w:r>
    </w:p>
    <w:p>
      <w:r>
        <w:t xml:space="preserve">4. The contractor shall indemnify the Department against all claims arising out of the work.</w:t>
      </w:r>
    </w:p>
    <w:p>
      <w:r>
        <w:t xml:space="preserve">5. The contractor shall comply with all labour laws and the provisions of the Contract Labour Act.</w:t>
      </w:r>
    </w:p>
    <w:p>
      <w:r>
        <w:t xml:space="preserve">SCOPE OF WORK</w:t>
      </w:r>
    </w:p>
    <w:p>
      <w:r>
        <w:t xml:space="preserve">This specification covers supply, installation, testing and commissioning of lt electrical distribution system complete in all respects.</w:t>
      </w:r>
    </w:p>
    <w:p>
      <w:r>
        <w:t xml:space="preserve">SITE CONDITIONS</w:t>
      </w:r>
    </w:p>
    <w:p>
      <w:r>
        <w:t xml:space="preserve">i) All equipment shall be suitable for operation at an ambient air temperature not exceeding 40 Deg.C. The equipment shall be suitable for relative humidity up to 95 per cent.</w:t>
      </w:r>
    </w:p>
    <w:p>
      <w:r>
        <w:t xml:space="preserve">ii) Site altitude does not exceed 1000 m above MSL.</w:t>
      </w:r>
    </w:p>
    <w:p>
      <w:r>
        <w:t xml:space="preserve">SECTION 4: MAIN LT PANEL</w:t>
      </w:r>
    </w:p>
    <w:p>
      <w:r>
        <w:t xml:space="preserve">i) Switchboards shall be designed, manufactured and tested in accordance with IS/IEC 61439-1:2020 and IS/IEC 61439-2:2020.</w:t>
      </w:r>
    </w:p>
    <w:p>
      <w:r>
        <w:t xml:space="preserve">ii) Panels shall be free standing, totally enclosed, made of 2 mm. thick CRCA sheet with powder coated finish.</w:t>
      </w:r>
    </w:p>
    <w:p>
      <w:r>
        <w:t xml:space="preserve">iii) The panel shall be suitable for 415 Volts ± 10 per cent, 50 Hz, 3 phase 4 wire system.</w:t>
      </w:r>
    </w:p>
    <w:p>
      <w:r>
        <w:t xml:space="preserve">iv) The horizontal busbar shall be high conductivity aluminium alloy of 1600A rating.</w:t>
      </w:r>
    </w:p>
    <w:p>
      <w:r>
        <w:t xml:space="preserve">v) Short time withstand rating of the switchboard shall be 50kA for 1 s.</w:t>
      </w:r>
    </w:p>
    <w:p>
      <w:r>
        <w:t xml:space="preserve">vi) Enclosure protection class for the switchboard shall be IP 54.</w:t>
      </w:r>
    </w:p>
    <w:p>
      <w:r>
        <w:t xml:space="preserve">vii) Internal separation of functional units shall be Form 4.</w:t>
      </w:r>
    </w:p>
    <w:p>
      <w:r>
        <w:t xml:space="preserve">viii) Incoming breaker shall be 1600A four pole draw-out ACB as per IS/IEC 60947-2:2003 with microprocessor release.</w:t>
      </w:r>
    </w:p>
    <w:p>
      <w:r>
        <w:t xml:space="preserve">ix) All outgoing MCCBs shall have a rated service breaking capacity of not less than 36kA.</w:t>
      </w:r>
    </w:p>
    <w:p>
      <w:r>
        <w:t xml:space="preserve">x) Each incomer shall be provided with a digital multifunction meter with RS-485 port.</w:t>
      </w:r>
    </w:p>
    <w:p>
      <w:r>
        <w:t xml:space="preserve">GUARANTEED TECHNICAL PARTICULARS — LT PANEL</w:t>
      </w:r>
    </w:p>
    <w:tbl>
      <w:tr>
        <w:tc>
          <w:p>
            <w:r>
              <w:t xml:space="preserve">Rated operational voltage</w:t>
            </w:r>
          </w:p>
        </w:tc>
        <w:tc>
          <w:p>
            <w:r>
              <w:t xml:space="preserve">415 Volts</w:t>
            </w:r>
          </w:p>
        </w:tc>
      </w:tr>
      <w:tr>
        <w:tc>
          <w:p>
            <w:r>
              <w:t xml:space="preserve">Busbar current rating</w:t>
            </w:r>
          </w:p>
        </w:tc>
        <w:tc>
          <w:p>
            <w:r>
              <w:t xml:space="preserve">1600A</w:t>
            </w:r>
          </w:p>
        </w:tc>
      </w:tr>
      <w:tr>
        <w:tc>
          <w:p>
            <w:r>
              <w:t xml:space="preserve">Rated short-time withstand current</w:t>
            </w:r>
          </w:p>
        </w:tc>
        <w:tc>
          <w:p>
            <w:r>
              <w:t xml:space="preserve">50kA for 1 sec</w:t>
            </w:r>
          </w:p>
        </w:tc>
      </w:tr>
      <w:tr>
        <w:tc>
          <w:p>
            <w:r>
              <w:t xml:space="preserve">Enclosure protection</w:t>
            </w:r>
          </w:p>
        </w:tc>
        <w:tc>
          <w:p>
            <w:r>
              <w:t xml:space="preserve">IP54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5 TECHNICAL SPECIFICATION — LT POWER AND CONTROL CABLES</w:t>
      </w:r>
    </w:p>
    <w:p>
      <w:r>
        <w:t xml:space="preserve">i) LT power cables shall be XLPE insulated 1.1 kV grade armoured cables with aluminium conductors as per IS 7098 (Part 1):1988.</w:t>
      </w:r>
    </w:p>
    <w:p>
      <w:r>
        <w:t xml:space="preserve">ii) Size of the incoming feeder cable shall be 3.5 core x 300 sqmm.</w:t>
      </w:r>
    </w:p>
    <w:p>
      <w:r>
        <w:t xml:space="preserve">iii) Continuous conductor operating temperature of XLPE cables shall be 90 Deg.C. Copper control cables of 2.5 sqmm shall be PVC insulated heavy duty type as per IS 1554 (Part 1).</w:t>
      </w:r>
    </w:p>
    <w:p>
      <w:r>
        <w:t xml:space="preserve">iv) Cable conductors shall meet the resistance requirements of IS 8130 for class 2 conductors.</w:t>
      </w:r>
    </w:p>
    <w:p>
      <w:r>
        <w:t xml:space="preserve">v) Cables shall be laid directly in ground at a depth of 750 mm. with brick protection.</w:t>
      </w:r>
    </w:p>
    <w:p>
      <w:r>
        <w:t xml:space="preserve">vi) Terminations shall be made with brass double compression glands and tinned copper lugs. Cable drums shall carry marking of size, type, length and manufacturer's name.</w:t>
      </w:r>
    </w:p>
    <w:p>
      <w:r>
        <w:t xml:space="preserve">6 TESTS AND INSPECTION</w:t>
      </w:r>
    </w:p>
    <w:p>
      <w:r>
        <w:t xml:space="preserve">i) Each switchboard shall be subjected to routine verification tests as per IS/IEC 61439-1 at the works.</w:t>
      </w:r>
    </w:p>
    <w:p>
      <w:r>
        <w:t xml:space="preserve">ii) The bidder shall furnish type test reports of the switchboard and breakers from an NABL accredited laboratory.</w:t>
      </w:r>
    </w:p>
    <w:p>
      <w:r>
        <w:t xml:space="preserve">iii) Acceptance tests on cables shall be carried out as per IS 10810 in presence of the Engineer.</w:t>
      </w:r>
    </w:p>
    <w:p>
      <w:r>
        <w:t xml:space="preserve">iv) Manufacturer's test certificates shall accompany every cable drum supplied. Pre-dispatch inspection shall be offered to the Department's authorised representative with 15 days notice.</w:t>
      </w:r>
    </w:p>
    <w:p>
      <w:r>
        <w:t xml:space="preserve">7 DOCUMENTATION, WARRANTY AND TRAINING</w:t>
      </w:r>
    </w:p>
    <w:p>
      <w:r>
        <w:t xml:space="preserve">i) Shop drawings and schematic diagrams shall be got approved from the Engineer-in-charge before manufacture.</w:t>
      </w:r>
    </w:p>
    <w:p>
      <w:r>
        <w:t xml:space="preserve">ii) O&amp;M manuals, as-built drawings and catalogues shall be furnished in triplicate at the time of handing over.</w:t>
      </w:r>
    </w:p>
    <w:p>
      <w:r>
        <w:t xml:space="preserve">iii) The supplier shall replace free of cost any part found defective within the defect liability period of 24 months.</w:t>
      </w:r>
    </w:p>
    <w:p>
      <w:r>
        <w:t xml:space="preserve">iv)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Main LT panel as per specification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Sub-distribution board, 12 way TPN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LT panel builder: as per approved list; ACB/MCCB: L&amp;T / Siemens / Schneider / ABB</w:t>
      </w:r>
    </w:p>
    <w:p>
      <w:r>
        <w:t xml:space="preserve">Cables: Polycab / KEI / Havells / RR Kabel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