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URBAN DEVELOPMENT AUTHORITY</w:t>
      </w:r>
    </w:p>
    <w:p>
      <w:r>
        <w:t xml:space="preserve">तकनीकी विशिष्टियाँ</w:t>
      </w:r>
    </w:p>
    <w:p>
      <w:r>
        <w:t xml:space="preserve">Office of the Executive Engineer, Circle I</w:t>
      </w:r>
    </w:p>
    <w:p>
      <w:r>
        <w:t xml:space="preserve">NOTICE INVITING e-TENDER No. EE/WS/59/2026-27</w:t>
      </w:r>
    </w:p>
    <w:p>
      <w:r>
        <w:t xml:space="preserve">Name of work: Electrical works for sewage treatment plant including motors and panels.</w:t>
      </w:r>
    </w:p>
    <w:p>
      <w:r>
        <w:t xml:space="preserve">Estimated cost put to tender: Rs. 416,96,000/-</w:t>
      </w:r>
    </w:p>
    <w:p>
      <w:r>
        <w:t xml:space="preserve">Earnest Money Deposit: Rs. 3,24,000/-</w:t>
      </w:r>
    </w:p>
    <w:p>
      <w:r>
        <w:t xml:space="preserve">Period of completion: 9 months</w:t>
      </w:r>
    </w:p>
    <w:p>
      <w:r>
        <w:t xml:space="preserve">Last date of submission: 13.11.2026 up to 15:00 hrs</w:t>
      </w:r>
    </w:p>
    <w:p>
      <w:r>
        <w:t xml:space="preserve">PART A — INSTRUCTIONS TO BIDDERS</w:t>
      </w:r>
    </w:p>
    <w:p>
      <w:r>
        <w:t xml:space="preserve">1. The tender documents may be downloaded from the e-procurement portal of the Government.</w:t>
      </w:r>
    </w:p>
    <w:p>
      <w:r>
        <w:t xml:space="preserve">2. The bidder must be registered with the Department in the appropriate class.</w:t>
      </w:r>
    </w:p>
    <w:p>
      <w:r>
        <w:t xml:space="preserve">3. Bids received after the due date and time shall not be considered.</w:t>
      </w:r>
    </w:p>
    <w:p>
      <w:r>
        <w:t xml:space="preserve">4. Bidders shall have completed at least one similar work of value not less than 40 % of the estimated cost during the last seven years.</w:t>
      </w:r>
    </w:p>
    <w:p>
      <w:r>
        <w:t xml:space="preserve">5. Conditional bids will be summarily rejected.</w:t>
      </w:r>
    </w:p>
    <w:p>
      <w:r>
        <w:t xml:space="preserve">6. The bidder shall upload scanned copies of GST registration, PAN and audited balance sheets.</w:t>
      </w:r>
    </w:p>
    <w:p>
      <w:r>
        <w:t xml:space="preserve">7. The successful bidder shall furnish a performance guarantee of 5 % of the contract value within 15 days.</w:t>
      </w:r>
    </w:p>
    <w:p>
      <w:r>
        <w:t xml:space="preserve">COMMERCIAL TERMS AND CONDITIONS</w:t>
      </w:r>
    </w:p>
    <w:p>
      <w:r>
        <w:t xml:space="preserve">1. Rates quoted shall be inclusive of all taxes, freight, insurance and transit risks.</w:t>
      </w:r>
    </w:p>
    <w:p>
      <w:r>
        <w:t xml:space="preserve">2. The contractor shall indemnify the Department against all claims arising out of the work.</w:t>
      </w:r>
    </w:p>
    <w:p>
      <w:r>
        <w:t xml:space="preserve">3. All disputes shall be subject to arbitration under the Arbitration and Conciliation Act, 1996.</w:t>
      </w:r>
    </w:p>
    <w:p>
      <w:r>
        <w:t xml:space="preserve">4. Income tax and GST shall be deducted at source as applicable.</w:t>
      </w:r>
    </w:p>
    <w:p>
      <w:r>
        <w:t xml:space="preserve">SCOPE OF WORK</w:t>
      </w:r>
    </w:p>
    <w:p>
      <w:r>
        <w:t xml:space="preserve">This specification covers electrical works for sewage treatment plant including motors and panels complete in all respects.</w:t>
      </w:r>
    </w:p>
    <w:p>
      <w:r>
        <w:t xml:space="preserve">SITE CONDITIONS</w:t>
      </w:r>
    </w:p>
    <w:p>
      <w:r>
        <w:t xml:space="preserve">i) Equipment is to be rated for a maximum ambient temperature of 50° C.</w:t>
      </w:r>
    </w:p>
    <w:p>
      <w:r>
        <w:t xml:space="preserve">ii) The relative humidity at site can go up to 95 pct.</w:t>
      </w:r>
    </w:p>
    <w:p>
      <w:r>
        <w:t xml:space="preserve">iii) The site is located at less than 1000 metre above MSL.</w:t>
      </w:r>
    </w:p>
    <w:p>
      <w:r>
        <w:t xml:space="preserve">PART D — MAIN LT PANEL</w:t>
      </w:r>
    </w:p>
    <w:p>
      <w:r>
        <w:t xml:space="preserve">i) Distribution boards shall be of suitable dimensions for the equipment housed.</w:t>
      </w:r>
    </w:p>
    <w:p>
      <w:r>
        <w:t xml:space="preserve">ii) The main LT switchboard shall comply with IS/IEC 61439-1:2020 and IS/IEC 61439-2:2020.</w:t>
      </w:r>
    </w:p>
    <w:p>
      <w:r>
        <w:t xml:space="preserve">iii) The switchboard shall be of floor standing cubicle construction using CRCA sheet steel 2 m.m. thick.</w:t>
      </w:r>
    </w:p>
    <w:p>
      <w:r>
        <w:t xml:space="preserve">iv) The switchboard shall have a rated operational voltage of 415 V AC, 3 phase 4 wire, 50 Hertz.</w:t>
      </w:r>
    </w:p>
    <w:p>
      <w:r>
        <w:t xml:space="preserve">v) The main busbar shall be electrolytic grade aluminium with a continuous rating of 1600 Amperes.</w:t>
      </w:r>
    </w:p>
    <w:p>
      <w:r>
        <w:t xml:space="preserve">vi) The short time withstand current of the busbars shall be 50 kA (rms) for one second.</w:t>
      </w:r>
    </w:p>
    <w:p>
      <w:r>
        <w:t xml:space="preserve">vii) The panel enclosure is to have a degree of protection of IP54.</w:t>
      </w:r>
    </w:p>
    <w:p>
      <w:r>
        <w:t xml:space="preserve">viii) Internal separation of the switchboard shall be to Form 3b.</w:t>
      </w:r>
    </w:p>
    <w:p>
      <w:r>
        <w:t xml:space="preserve">ix) Each incomer shall be a 1600 Amperes, four pole, motorised air circuit breaker complying with IS/IEC 60947-2:2003.</w:t>
      </w:r>
    </w:p>
    <w:p>
      <w:r>
        <w:t xml:space="preserve">x) Outgoing feeders shall be controlled by MCCBs having an ultimate breaking capacity of 36 kA (rms).</w:t>
      </w:r>
    </w:p>
    <w:p>
      <w:r>
        <w:t xml:space="preserve">xi) Each incomer shall be provided with a class 0.5 accuracy multifunction meter.</w:t>
      </w:r>
    </w:p>
    <w:p>
      <w:r>
        <w:t xml:space="preserve">GUARANTEED TECHNICAL PARTICULARS — LT PANEL</w:t>
      </w:r>
    </w:p>
    <w:tbl>
      <w:tr>
        <w:tc>
          <w:p>
            <w:r>
              <w:t xml:space="preserve">Rated operational voltage</w:t>
            </w:r>
          </w:p>
        </w:tc>
        <w:tc>
          <w:p>
            <w:r>
              <w:t xml:space="preserve">415 V AC</w:t>
            </w:r>
          </w:p>
        </w:tc>
      </w:tr>
      <w:tr>
        <w:tc>
          <w:p>
            <w:r>
              <w:t xml:space="preserve">Main busbar rated current</w:t>
            </w:r>
          </w:p>
        </w:tc>
        <w:tc>
          <w:p>
            <w:r>
              <w:t xml:space="preserve">1600 Amperes</w:t>
            </w:r>
          </w:p>
        </w:tc>
      </w:tr>
      <w:tr>
        <w:tc>
          <w:p>
            <w:r>
              <w:t xml:space="preserve">Rated short-time withstand current</w:t>
            </w:r>
          </w:p>
        </w:tc>
        <w:tc>
          <w:p>
            <w:r>
              <w:t xml:space="preserve">50 kA (rms) for 1 s</w:t>
            </w:r>
          </w:p>
        </w:tc>
      </w:tr>
      <w:tr>
        <w:tc>
          <w:p>
            <w:r>
              <w:t xml:space="preserve">Enclosure degree of protection</w:t>
            </w:r>
          </w:p>
        </w:tc>
        <w:tc>
          <w:p>
            <w:r>
              <w:t xml:space="preserve">IP54</w:t>
            </w:r>
          </w:p>
        </w:tc>
      </w:tr>
      <w:tr>
        <w:tc>
          <w:p>
            <w:r>
              <w:t xml:space="preserve">Make and type</w:t>
            </w:r>
          </w:p>
        </w:tc>
        <w:tc>
          <w:p>
            <w:r>
              <w:t xml:space="preserve">(to be furnished by the bidder)</w:t>
            </w:r>
          </w:p>
        </w:tc>
      </w:tr>
    </w:tbl>
    <w:p>
      <w:r>
        <w:t xml:space="preserve">SECTION 5: DRIVE MOTORS</w:t>
      </w:r>
    </w:p>
    <w:p>
      <w:r>
        <w:t xml:space="preserve">i) Squirrel cage induction motors complying with IS 325:1996 shall be supplied.</w:t>
      </w:r>
    </w:p>
    <w:p>
      <w:r>
        <w:t xml:space="preserve">ii) Motor rated output shall be 37 k.W..</w:t>
      </w:r>
    </w:p>
    <w:p>
      <w:r>
        <w:t xml:space="preserve">iii) Motors are to operate on 415 V AC ± 10 pct, 50 Hertz ± 5 pct, three phase supply.</w:t>
      </w:r>
    </w:p>
    <w:p>
      <w:r>
        <w:t xml:space="preserve">iv) Motors shall meet efficiency class IE3 of IS 12615:2018.</w:t>
      </w:r>
    </w:p>
    <w:p>
      <w:r>
        <w:t xml:space="preserve">v) The motor enclosure shall have IP55 degree of protection.</w:t>
      </w:r>
    </w:p>
    <w:p>
      <w:r>
        <w:t xml:space="preserve">vi) Insulation shall be class F, with temperature rise restricted to class B, for continuous S1 duty.</w:t>
      </w:r>
    </w:p>
    <w:p>
      <w:r>
        <w:t xml:space="preserve">vii) The motor synchronous speed shall be 1500 rev/min.</w:t>
      </w:r>
    </w:p>
    <w:p>
      <w:r>
        <w:t xml:space="preserve">SECTION 6: LT POWER AND CONTROL CABLES</w:t>
      </w:r>
    </w:p>
    <w:p>
      <w:r>
        <w:t xml:space="preserve">i) LT power cables shall be aluminium conductor, XLPE insulated, armoured, PVC sheathed, 1.1 kV grade, complying with IS 7098 (Part 1):1988.</w:t>
      </w:r>
    </w:p>
    <w:p>
      <w:r>
        <w:t xml:space="preserve">ii) Maximum continuous conductor temperature of the cables shall be 90° C.</w:t>
      </w:r>
    </w:p>
    <w:p>
      <w:r>
        <w:t xml:space="preserve">iii) Copper conductor control cables of 2.5 Sq mm, PVC insulated, 1.1 kV grade shall comply with IS 1554 (Part 1).</w:t>
      </w:r>
    </w:p>
    <w:p>
      <w:r>
        <w:t xml:space="preserve">iv) Class 2 stranded conductors complying with IS 8130 shall be used.</w:t>
      </w:r>
    </w:p>
    <w:p>
      <w:r>
        <w:t xml:space="preserve">v) Cables shall be run in RCC trenches or on perforated trays as per drawings.</w:t>
      </w:r>
    </w:p>
    <w:p>
      <w:r>
        <w:t xml:space="preserve">vi) Double compression glands and crimped lugs shall be used for all cable terminations.</w:t>
      </w:r>
    </w:p>
    <w:p>
      <w:r>
        <w:t xml:space="preserve">vii) The maker's name, size, voltage grade and year of manufacture shall be marked on every drum.</w:t>
      </w:r>
    </w:p>
    <w:p>
      <w:r>
        <w:t xml:space="preserve">7 TESTS AND INSPECTION</w:t>
      </w:r>
    </w:p>
    <w:p>
      <w:r>
        <w:t xml:space="preserve">i) Each assembly shall undergo routine verification as laid down in IS/IEC 61439-1.</w:t>
      </w:r>
    </w:p>
    <w:p>
      <w:r>
        <w:t xml:space="preserve">ii) The bidder shall furnish type test certificates of the offered panel design issued by a NABL accredited laboratory.</w:t>
      </w:r>
    </w:p>
    <w:p>
      <w:r>
        <w:t xml:space="preserve">iii) Each motor shall be subjected to routine tests as per IS 4029.</w:t>
      </w:r>
    </w:p>
    <w:p>
      <w:r>
        <w:t xml:space="preserve">iv) All motors shall carry the ISI mark.</w:t>
      </w:r>
    </w:p>
    <w:p>
      <w:r>
        <w:t xml:space="preserve">v) Testing of the cables shall be done as per IS 10810.</w:t>
      </w:r>
    </w:p>
    <w:p>
      <w:r>
        <w:t xml:space="preserve">vi) Each consignment of cables shall be accompanied by routine test certificates.</w:t>
      </w:r>
    </w:p>
    <w:p>
      <w:r>
        <w:t xml:space="preserve">vii) Before despatch, the Engineer-in-charge will inspect the equipment at the maker's works.</w:t>
      </w:r>
    </w:p>
    <w:p>
      <w:r>
        <w:t xml:space="preserve">8 DOCUMENTATION, WARRANTY AND TRAINING</w:t>
      </w:r>
    </w:p>
    <w:p>
      <w:r>
        <w:t xml:space="preserve">i) Detailed shop drawings are to be submitted by the contractor for approval not later than 21 calendar days after the award of work.</w:t>
      </w:r>
    </w:p>
    <w:p>
      <w:r>
        <w:t xml:space="preserve">ii) On completion the contractor shall hand over three copies of the O&amp;M manuals.</w:t>
      </w:r>
    </w:p>
    <w:p>
      <w:r>
        <w:t xml:space="preserve">iii) The contractor shall guarantee the whole installation for 12 months after handing over against faulty design, materials and workmanship.</w:t>
      </w:r>
    </w:p>
    <w:p>
      <w:r>
        <w:t xml:space="preserve">iv) Operation and routine maintenance training shall be given by the contractor to the Department's operators.</w:t>
      </w:r>
    </w:p>
    <w:p>
      <w:r>
        <w:t xml:space="preserve">SCHEDULE OF QUANTITIES</w:t>
      </w:r>
    </w:p>
    <w:tbl>
      <w:tr>
        <w:tc>
          <w:p>
            <w:r>
              <w:t xml:space="preserve">Sl. No.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Unit</w:t>
            </w:r>
          </w:p>
        </w:tc>
        <w:tc>
          <w:p>
            <w:r>
              <w:t xml:space="preserve">Qty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Main LT panel as per specification</w:t>
            </w:r>
          </w:p>
        </w:tc>
        <w:tc>
          <w:p>
            <w:r>
              <w:t xml:space="preserve">Set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Sub-distribution board, 12 way TPN</w:t>
            </w:r>
          </w:p>
        </w:tc>
        <w:tc>
          <w:p>
            <w:r>
              <w:t xml:space="preserve">No.</w:t>
            </w:r>
          </w:p>
        </w:tc>
        <w:tc>
          <w:p>
            <w:r>
              <w:t xml:space="preserve">8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Squirrel cage induction motor 37 kW, 1500 rpm</w:t>
            </w:r>
          </w:p>
        </w:tc>
        <w:tc>
          <w:p>
            <w:r>
              <w:t xml:space="preserve">No.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3.5C x 300 sq mm XLPE armoured cable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350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Cable tray 300 mm wide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120</w:t>
            </w:r>
          </w:p>
        </w:tc>
      </w:tr>
    </w:tbl>
    <w:p>
      <w:r>
        <w:t xml:space="preserve">APPROVED MAKES OF MATERIALS</w:t>
      </w:r>
    </w:p>
    <w:p>
      <w:r>
        <w:t xml:space="preserve">LT panel builder: as per approved list; ACB/MCCB: L&amp;T / Siemens / Schneider / ABB</w:t>
      </w:r>
    </w:p>
    <w:p>
      <w:r>
        <w:t xml:space="preserve">Motors: ABB / Siemens / Crompton Greaves / Kirloskar</w:t>
      </w:r>
    </w:p>
    <w:p>
      <w:r>
        <w:t xml:space="preserve">Cables: Polycab / KEI / Havells / RR Kabel</w:t>
      </w:r>
    </w:p>
    <w:p>
      <w:r>
        <w:t xml:space="preserve">Note: Drawings are indicative only and shall be verified at site.</w:t>
      </w:r>
    </w:p>
    <w:p>
      <w:r>
        <w:t xml:space="preserve">Note: In case of any discrepancy between drawings and specifications, the decision of the Engineer-in-charge shall be final.</w:t>
      </w:r>
    </w:p>
    <w:p>
      <w:r>
        <w:t xml:space="preserve">Signature of Bidder with seal</w:t>
      </w:r>
    </w:p>
    <w:p>
      <w:r>
        <w:t xml:space="preserve">Executive Engineer</w:t>
      </w:r>
    </w:p>
  </w:body>
</w:document>
</file>