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PUBLIC HEALTH ENGINEERING DEPARTMENT</w:t>
      </w:r>
    </w:p>
    <w:p>
      <w:r>
        <w:t xml:space="preserve">तकनीकी विशिष्टियाँ</w:t>
      </w:r>
    </w:p>
    <w:p>
      <w:r>
        <w:t xml:space="preserve">Office of the Executive Engineer, Division No. 2</w:t>
      </w:r>
    </w:p>
    <w:p>
      <w:r>
        <w:t xml:space="preserve">NOTICE INVITING e-TENDER No. CE/ELE/33/2026-27</w:t>
      </w:r>
    </w:p>
    <w:p>
      <w:r>
        <w:t xml:space="preserve">Name of work: Supply and installation of borewell submersible pumpsets and water quality testing.</w:t>
      </w:r>
    </w:p>
    <w:p>
      <w:r>
        <w:t xml:space="preserve">Estimated cost put to tender: Rs. 107,78,000/-</w:t>
      </w:r>
    </w:p>
    <w:p>
      <w:r>
        <w:t xml:space="preserve">Earnest Money Deposit: Rs. 5,45,000/-</w:t>
      </w:r>
    </w:p>
    <w:p>
      <w:r>
        <w:t xml:space="preserve">Period of completion: 18 months</w:t>
      </w:r>
    </w:p>
    <w:p>
      <w:r>
        <w:t xml:space="preserve">Last date of submission: 20.11.2026 up to 15:00 hrs</w:t>
      </w:r>
    </w:p>
    <w:p>
      <w:r>
        <w:t xml:space="preserve">PART A — INSTRUCTIONS TO BIDDERS</w:t>
      </w:r>
    </w:p>
    <w:p>
      <w:r>
        <w:t xml:space="preserve">1. The bidder shall submit the EMD in the form of online payment or bank guarantee from a scheduled bank.</w:t>
      </w:r>
    </w:p>
    <w:p>
      <w:r>
        <w:t xml:space="preserve">2. Bids received after the due date and time shall not be considered.</w:t>
      </w:r>
    </w:p>
    <w:p>
      <w:r>
        <w:t xml:space="preserve">3. The bidder shall upload scanned copies of GST registration, PAN and audited balance sheets.</w:t>
      </w:r>
    </w:p>
    <w:p>
      <w:r>
        <w:t xml:space="preserve">4. The bidder must be registered with the Department in the appropriate class.</w:t>
      </w:r>
    </w:p>
    <w:p>
      <w:r>
        <w:t xml:space="preserve">5. The successful bidder shall furnish a performance guarantee of 5 % of the contract value within 15 days.</w:t>
      </w:r>
    </w:p>
    <w:p>
      <w:r>
        <w:t xml:space="preserve">SPECIAL CONDITIONS OF CONTRACT</w:t>
      </w:r>
    </w:p>
    <w:p>
      <w:r>
        <w:t xml:space="preserve">1. Rates quoted shall be inclusive of all taxes, freight, insurance and transit risks.</w:t>
      </w:r>
    </w:p>
    <w:p>
      <w:r>
        <w:t xml:space="preserve">2. The contractor shall indemnify the Department against all claims arising out of the work.</w:t>
      </w:r>
    </w:p>
    <w:p>
      <w:r>
        <w:t xml:space="preserve">3. Payment shall be made within 30 days of receipt of bills duly certified by the Engineer-in-charge.</w:t>
      </w:r>
    </w:p>
    <w:p>
      <w:r>
        <w:t xml:space="preserve">4. Income tax and GST shall be deducted at source as applicable.</w:t>
      </w:r>
    </w:p>
    <w:p>
      <w:r>
        <w:t xml:space="preserve">5. Liquidated damages at 0.5 % per week of delay shall be levied, subject to a maximum of 10 % of the contract value.</w:t>
      </w:r>
    </w:p>
    <w:p>
      <w:r>
        <w:t xml:space="preserve">SCOPE OF WORK</w:t>
      </w:r>
    </w:p>
    <w:p>
      <w:r>
        <w:t xml:space="preserve">This specification covers supply and installation of borewell submersible pumpsets and water quality testing complete in all respects.</w:t>
      </w:r>
    </w:p>
    <w:p>
      <w:r>
        <w:t xml:space="preserve">3 TECHNICAL SPECIFICATION — BOREWELL SUBMERSIBLE PUMPSETS</w:t>
      </w:r>
    </w:p>
    <w:p>
      <w:r>
        <w:t xml:space="preserve">(a) SUBMERSIBLE PUMPSETS FOR BOREWELLS SHALL COMPLY WITH IS 8034:2018.</w:t>
      </w:r>
    </w:p>
    <w:p>
      <w:r>
        <w:t xml:space="preserve">(b) Duty point of each pumpset shall be 18 cu.m/hr at 90 metre total head.</w:t>
      </w:r>
    </w:p>
    <w:p>
      <w:r>
        <w:t xml:space="preserve">(c) The motors shall be wet type, water filled, complying with IS 9283:2013.</w:t>
      </w:r>
    </w:p>
    <w:p>
      <w:r>
        <w:t xml:space="preserve">(d) Flat submersible cables shall be copper conductor, PVC insulated, 3 core 6 Sq mm, complying with IS 694:2010 and tested to IS 10810.</w:t>
      </w:r>
    </w:p>
    <w:p>
      <w:r>
        <w:t xml:space="preserve">(e) An automatic starter with dry run protection and single phasing preventer shall be supplied with every pumpset.</w:t>
      </w:r>
    </w:p>
    <w:p>
      <w:r>
        <w:t xml:space="preserve">SECTION 4: TREATED WATER QUALITY</w:t>
      </w:r>
    </w:p>
    <w:p>
      <w:r>
        <w:t xml:space="preserve">(a) The quality of treated water shall comply with IS 10500:2012.</w:t>
      </w:r>
    </w:p>
    <w:p>
      <w:r>
        <w:t xml:space="preserve">(b) The pH value of treated water shall lie within 6.5 to 8.5.</w:t>
      </w:r>
    </w:p>
    <w:p>
      <w:r>
        <w:t xml:space="preserve">(c) TDS of treated water shall be limited to 2000 mg per litre.</w:t>
      </w:r>
    </w:p>
    <w:p>
      <w:r>
        <w:t xml:space="preserve">(d) The turbidity of treated water shall be limited to 1 NTU..</w:t>
      </w:r>
    </w:p>
    <w:p>
      <w:r>
        <w:t xml:space="preserve">(e) Fluoride (as F) shall be limited to 1.5 mg per litre.</w:t>
      </w:r>
    </w:p>
    <w:p>
      <w:r>
        <w:t xml:space="preserve">(f) Nitrate (as NO3) shall be limited to 45 mg per litre.</w:t>
      </w:r>
    </w:p>
    <w:p>
      <w:r>
        <w:t xml:space="preserve">(g) Arsenic (as As) shall be limited to 0.01 mg per litre.</w:t>
      </w:r>
    </w:p>
    <w:p>
      <w:r>
        <w:t xml:space="preserve">(h) Total hardness (as CaCO3) shall be limited to 200 mg per litre. No E. coli shall be detected in any 100 ml sample.</w:t>
      </w:r>
    </w:p>
    <w:p>
      <w:r>
        <w:t xml:space="preserve">SECTION 5: TESTING, INSPECTION AND CERTIFICATION</w:t>
      </w:r>
    </w:p>
    <w:p>
      <w:r>
        <w:t xml:space="preserve">(a) All pumpsets shall carry the BIS Standard Mark.</w:t>
      </w:r>
    </w:p>
    <w:p>
      <w:r>
        <w:t xml:space="preserve">(b) Testing of water samples shall be done at a NABL accredited laboratory as per IS 3025.</w:t>
      </w:r>
    </w:p>
    <w:p>
      <w:r>
        <w:t xml:space="preserve">(c) Before despatch, the Engineer-in-charge will inspect the equipment at the maker's works.</w:t>
      </w:r>
    </w:p>
    <w:p>
      <w:r>
        <w:t xml:space="preserve">6 DOCUMENTATION, WARRANTY AND TRAINING</w:t>
      </w:r>
    </w:p>
    <w:p>
      <w:r>
        <w:t xml:space="preserve">(a) The contractor shall submit test reports for every source to the Engineer-in-charge. Detailed shop drawings are to be submitted by the contractor for approval not later than 21 calendar days after the award of work.</w:t>
      </w:r>
    </w:p>
    <w:p>
      <w:r>
        <w:t xml:space="preserve">(b) On completion the contractor shall hand over three copies of the O&amp;M manuals.</w:t>
      </w:r>
    </w:p>
    <w:p>
      <w:r>
        <w:t xml:space="preserve">(c) The contractor shall guarantee the whole installation for 12 months after handing over against faulty design, materials and workmanship.</w:t>
      </w:r>
    </w:p>
    <w:p>
      <w:r>
        <w:t xml:space="preserve">(d) OPERATION AND ROUTINE MAINTENANCE TRAINING SHALL BE GIVEN BY THE CONTRACTOR TO THE DEPARTMENT'S OPERATORS.</w:t>
      </w:r>
    </w:p>
    <w:p>
      <w:r>
        <w:t xml:space="preserve">SCHEDULE OF QUANTITIES</w:t>
      </w:r>
    </w:p>
    <w:tbl>
      <w:tr>
        <w:tc>
          <w:p>
            <w:r>
              <w:t xml:space="preserve">Sl. No.</w:t>
            </w:r>
          </w:p>
        </w:tc>
        <w:tc>
          <w:p>
            <w:r>
              <w:t xml:space="preserve">Description</w:t>
            </w:r>
          </w:p>
        </w:tc>
        <w:tc>
          <w:p>
            <w:r>
              <w:t xml:space="preserve">Unit</w:t>
            </w:r>
          </w:p>
        </w:tc>
        <w:tc>
          <w:p>
            <w:r>
              <w:t xml:space="preserve">Qty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Submersible pumpset 18 m3/hr at 90 m head</w:t>
            </w:r>
          </w:p>
        </w:tc>
        <w:tc>
          <w:p>
            <w:r>
              <w:t xml:space="preserve">Set</w:t>
            </w:r>
          </w:p>
        </w:tc>
        <w:tc>
          <w:p>
            <w:r>
              <w:t xml:space="preserve">12</w:t>
            </w:r>
          </w:p>
        </w:tc>
      </w:tr>
    </w:tbl>
    <w:p>
      <w:r>
        <w:t xml:space="preserve">2 | Water quality testing (complete set of parameters) | Sample | 48</w:t>
      </w:r>
    </w:p>
    <w:p>
      <w:r>
        <w:t xml:space="preserve">APPROVED MAKES OF MATERIALS</w:t>
      </w:r>
    </w:p>
    <w:p>
      <w:r>
        <w:t xml:space="preserve">Submersible pumps: CRI / Kirloskar / Texmo</w:t>
      </w:r>
    </w:p>
    <w:p>
      <w:r>
        <w:t xml:space="preserve">Testing laboratory: NABL accredited</w:t>
      </w:r>
    </w:p>
    <w:p>
      <w:r>
        <w:t xml:space="preserve">Note: In case of any discrepancy between drawings and specifications, the decision of the Engineer-in-charge shall be final.</w:t>
      </w:r>
    </w:p>
    <w:p>
      <w:r>
        <w:t xml:space="preserve">Note: Quantities are approximate and may vary during execution.</w:t>
      </w:r>
    </w:p>
    <w:p>
      <w:r>
        <w:t xml:space="preserve">Signature of Bidder with seal</w:t>
      </w:r>
    </w:p>
    <w:p>
      <w:r>
        <w:t xml:space="preserve">Executive Engineer</w:t>
      </w:r>
    </w:p>
  </w:body>
</w:document>
</file>