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VIDYUT VITRAN NIGAM LIMITED</w:t>
      </w:r>
    </w:p>
    <w:p>
      <w:r>
        <w:t xml:space="preserve">तकनीकी विशिष्टियाँ</w:t>
      </w:r>
    </w:p>
    <w:p>
      <w:r>
        <w:t xml:space="preserve">Office of the Executive Engineer, Project Division</w:t>
      </w:r>
    </w:p>
    <w:p>
      <w:r>
        <w:t xml:space="preserve">NOTICE INVITING e-TENDER No. SE/CIV/14/2026-27</w:t>
      </w:r>
    </w:p>
    <w:p>
      <w:r>
        <w:t xml:space="preserve">Name of work: Procurement of distribution transformers and LT cables.</w:t>
      </w:r>
    </w:p>
    <w:p>
      <w:r>
        <w:t xml:space="preserve">Estimated cost put to tender: Rs. 386,56,000/-</w:t>
      </w:r>
    </w:p>
    <w:p>
      <w:r>
        <w:t xml:space="preserve">Earnest Money Deposit: Rs. 2,93,000/-</w:t>
      </w:r>
    </w:p>
    <w:p>
      <w:r>
        <w:t xml:space="preserve">Period of completion: 9 months</w:t>
      </w:r>
    </w:p>
    <w:p>
      <w:r>
        <w:t xml:space="preserve">Last date of submission: 10.12.2026 up to 15:00 hrs</w:t>
      </w:r>
    </w:p>
    <w:p>
      <w:r>
        <w:t xml:space="preserve">PART A — INSTRUCTIONS TO BIDDERS</w:t>
      </w:r>
    </w:p>
    <w:p>
      <w:r>
        <w:t xml:space="preserve">1. The bidder shall upload scanned copies of GST registration, PAN and audited balance sheets.</w:t>
      </w:r>
    </w:p>
    <w:p>
      <w:r>
        <w:t xml:space="preserve">2. The tender documents may be downloaded from the e-procurement portal of the Government.</w:t>
      </w:r>
    </w:p>
    <w:p>
      <w:r>
        <w:t xml:space="preserve">3. Bidders shall have completed at least one similar work of value not less than 40 % of the estimated cost during the last seven years.</w:t>
      </w:r>
    </w:p>
    <w:p>
      <w:r>
        <w:t xml:space="preserve">4. The bid shall remain valid for 90 days from the date of opening of the technical bid.</w:t>
      </w:r>
    </w:p>
    <w:p>
      <w:r>
        <w:t xml:space="preserve">5. The successful bidder shall furnish a performance guarantee of 5 % of the contract value within 15 days.</w:t>
      </w:r>
    </w:p>
    <w:p>
      <w:r>
        <w:t xml:space="preserve">6. Bids received after the due date and time shall not be considered.</w:t>
      </w:r>
    </w:p>
    <w:p>
      <w:r>
        <w:t xml:space="preserve">7. The bidder shall submit the EMD in the form of online payment or bank guarantee from a scheduled bank.</w:t>
      </w:r>
    </w:p>
    <w:p>
      <w:r>
        <w:t xml:space="preserve">COMMERCIAL TERMS AND CONDITIONS</w:t>
      </w:r>
    </w:p>
    <w:p>
      <w:r>
        <w:t xml:space="preserve">1. The contractor shall indemnify the Department against all claims arising out of the work.</w:t>
      </w:r>
    </w:p>
    <w:p>
      <w:r>
        <w:t xml:space="preserve">2. Payment shall be made within 30 days of receipt of bills duly certified by the Engineer-in-charge.</w:t>
      </w:r>
    </w:p>
    <w:p>
      <w:r>
        <w:t xml:space="preserve">3. All disputes shall be subject to arbitration under the Arbitration and Conciliation Act, 1996.</w:t>
      </w:r>
    </w:p>
    <w:p>
      <w:r>
        <w:t xml:space="preserve">SCOPE OF WORK</w:t>
      </w:r>
    </w:p>
    <w:p>
      <w:r>
        <w:t xml:space="preserve">This specification covers procurement of distribution transformers and lt cables complete in all respects.</w:t>
      </w:r>
    </w:p>
    <w:p>
      <w:r>
        <w:t xml:space="preserve">PART C — DISTRIBUTION TRANSFORMERS</w:t>
      </w:r>
    </w:p>
    <w:p>
      <w:r>
        <w:t xml:space="preserve">- Distribution transformers shall comply with IS 1180 (Part 1):2014. Transformer rating shall be 630 kva, 11/0.433 kV, vector group Dyn11.</w:t>
      </w:r>
    </w:p>
    <w:p>
      <w:r>
        <w:t xml:space="preserve">- Transformers shall comply with energy efficiency level 2 of IS 1180 (Part 1).</w:t>
      </w:r>
    </w:p>
    <w:p>
      <w:r>
        <w:t xml:space="preserve">- Transformers shall be outdoor type, copper wound, oil immersed with ONAN cooling.</w:t>
      </w:r>
    </w:p>
    <w:p>
      <w:r>
        <w:t xml:space="preserve">- The top oil temperature rise shall be limited to 35 ℃ above an ambient of 50 ℃.</w:t>
      </w:r>
    </w:p>
    <w:p>
      <w:r>
        <w:t xml:space="preserve">- The tank shall be fabricated from welded mild steel with epoxy paint finish.</w:t>
      </w:r>
    </w:p>
    <w:p>
      <w:r>
        <w:t xml:space="preserve">SECTION 4: LT POWER AND CONTROL CABLES</w:t>
      </w:r>
    </w:p>
    <w:p>
      <w:r>
        <w:t xml:space="preserve">- LT power cables shall be aluminium conductor, XLPE insulated, armoured, PVC sheathed, 1.1 kV grade, complying with IS 7098 (Part 1):1988. The size of the main feeder cable shall be 3.5 core 300 mm2.</w:t>
      </w:r>
    </w:p>
    <w:p>
      <w:r>
        <w:t xml:space="preserve">- Maximum continuous conductor temperature of the cables shall be 90 ℃.</w:t>
      </w:r>
    </w:p>
    <w:p>
      <w:r>
        <w:t xml:space="preserve">- Copper conductor control cables of 2.5 mm2, PVC insulated, 1.1 kV grade shall comply with IS 1554 (Part 1).</w:t>
      </w:r>
    </w:p>
    <w:p>
      <w:r>
        <w:t xml:space="preserve">- Class 2 stranded conductors complying with IS 8130 shall be used.</w:t>
      </w:r>
    </w:p>
    <w:p>
      <w:r>
        <w:t xml:space="preserve">- Cables shall be run in RCC trenches or on perforated trays as per drawings.</w:t>
      </w:r>
    </w:p>
    <w:p>
      <w:r>
        <w:t xml:space="preserve">- Double compression glands and crimped lugs shall be used for all cable terminations.</w:t>
      </w:r>
    </w:p>
    <w:p>
      <w:r>
        <w:t xml:space="preserve">- The maker's name, size, voltage grade and year of manufacture shall be marked on every drum.</w:t>
      </w:r>
    </w:p>
    <w:p>
      <w:r>
        <w:t xml:space="preserve">5 TESTS AND INSPECTION</w:t>
      </w:r>
    </w:p>
    <w:p>
      <w:r>
        <w:t xml:space="preserve">- Each transformer shall be subjected to all routine tests as per IS 2026 (Part 1):2011.</w:t>
      </w:r>
    </w:p>
    <w:p>
      <w:r>
        <w:t xml:space="preserve">- Testing of the cables shall be done as per IS 10810.</w:t>
      </w:r>
    </w:p>
    <w:p>
      <w:r>
        <w:t xml:space="preserve">- Each consignment of cables shall be accompanied by routine test certificates. Before despatch, the Engineer-in-charge will inspect the equipment at the maker's works.</w:t>
      </w:r>
    </w:p>
    <w:p>
      <w:r>
        <w:t xml:space="preserve">6 DOCUMENTATION, WARRANTY AND TRAINING</w:t>
      </w:r>
    </w:p>
    <w:p>
      <w:r>
        <w:t xml:space="preserve">- Detailed shop drawings are to be submitted by the contractor for approval not later than 21 calendar days after the award of work.</w:t>
      </w:r>
    </w:p>
    <w:p>
      <w:r>
        <w:t xml:space="preserve">- On completion the contractor shall hand over three copies of the O&amp;M manuals. The contractor shall guarantee the whole installation for 12 months after handing over against faulty design, materials and workmanship.</w:t>
      </w:r>
    </w:p>
    <w:p>
      <w:r>
        <w:t xml:space="preserve">- Operation and routine maintenance training shall be given by the contractor to the Department's operators.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630 kVA 11/0.433 kV distribution transformer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3.5C x 300 sq mm XLPE armoured cable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350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Cable tray 300 mm wide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120</w:t>
            </w:r>
          </w:p>
        </w:tc>
      </w:tr>
    </w:tbl>
    <w:p>
      <w:r>
        <w:t xml:space="preserve">APPROVED MAKES OF MATERIALS</w:t>
      </w:r>
    </w:p>
    <w:p>
      <w:r>
        <w:t xml:space="preserve">Transformers: as per approved vendor list of the utility</w:t>
      </w:r>
    </w:p>
    <w:p>
      <w:r>
        <w:t xml:space="preserve">Cables: Polycab / KEI / Havells / RR Kabel</w:t>
      </w:r>
    </w:p>
    <w:p>
      <w:r>
        <w:t xml:space="preserve">Note: Quantities are approximate and may vary during execution.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