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t xml:space="preserve"> </w:t>
      </w:r>
      <w:r>
        <w:rPr>
          <w:b/>
          <w:bCs/>
        </w:rPr>
        <w:t xml:space="preserve">Bachelor of Science in Artificial Intelligence</w:t>
      </w:r>
    </w:p>
    <w:p>
      <w:pPr>
        <w:pStyle w:val="BodyText"/>
      </w:pPr>
      <w:r>
        <w:rPr>
          <w:b/>
          <w:bCs/>
        </w:rPr>
        <w:t xml:space="preserve">Department of Computer Science</w:t>
      </w:r>
      <w:r>
        <w:t xml:space="preserve"> </w:t>
      </w:r>
      <w:r>
        <w:rPr>
          <w:b/>
          <w:bCs/>
        </w:rPr>
        <w:t xml:space="preserve">National University of Technology</w:t>
      </w:r>
    </w:p>
    <w:p>
      <w:r>
        <w:pict>
          <v:rect style="width:0;height:1.5pt" o:hralign="center" o:hrstd="t" o:hr="t"/>
        </w:pict>
      </w:r>
    </w:p>
    <w:bookmarkStart w:id="9"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9"/>
    <w:bookmarkStart w:id="10"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0"/>
    <w:bookmarkStart w:id="11"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 is long established [chen2007gems; walker2007citerank]. It is a working, measured pipeline that makes the</w:t>
      </w:r>
      <w:r>
        <w:t xml:space="preserve"> </w:t>
      </w:r>
      <w:r>
        <w:rPr>
          <w:i/>
          <w:iCs/>
        </w:rPr>
        <w:t xml:space="preserve">uncertainty</w:t>
      </w:r>
      <w:r>
        <w:t xml:space="preserve"> </w:t>
      </w:r>
      <w:r>
        <w:t xml:space="preserve">of automated evidence extraction visible to the user: every extracted population carries a confidence score and 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 could not be established fall back to a uniform structural weight rather than 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Full-text parsing, specified in the project</w:t>
      </w:r>
      <w:r>
        <w:t xml:space="preserve"> </w:t>
      </w:r>
      <w:r>
        <w:t xml:space="preserve">proposal, was not implemented; the system reads abstracts only.</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1"/>
    <w:bookmarkStart w:id="12" w:name="acknowledgements"/>
    <w:p>
      <w:pPr>
        <w:pStyle w:val="Heading2"/>
      </w:pPr>
      <w:r>
        <w:t xml:space="preserve">Acknowledgements</w:t>
      </w:r>
    </w:p>
    <w:p>
      <w:pPr>
        <w:pStyle w:val="FirstParagraph"/>
      </w:pPr>
      <w:r>
        <w:rPr>
          <w:i/>
          <w:iCs/>
        </w:rPr>
        <w:t xml:space="preserve">[to be completed by the authors]</w:t>
      </w:r>
    </w:p>
    <w:p>
      <w:r>
        <w:pict>
          <v:rect style="width:0;height:1.5pt" o:hralign="center" o:hrstd="t" o:hr="t"/>
        </w:pict>
      </w:r>
    </w:p>
    <w:bookmarkEnd w:id="12"/>
    <w:bookmarkStart w:id="13"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 2.</w:t>
      </w:r>
      <w:r>
        <w:t xml:space="preserve"> </w:t>
      </w:r>
      <w:r>
        <w:rPr>
          <w:b/>
          <w:bCs/>
        </w:rPr>
        <w:t xml:space="preserve">Literature Review</w:t>
      </w:r>
      <w:r>
        <w:t xml:space="preserve">, citation analysis, scholarly infrastructure, biomedical information extraction, evidence appraisal 3.</w:t>
      </w:r>
      <w:r>
        <w:t xml:space="preserve"> </w:t>
      </w:r>
      <w:r>
        <w:rPr>
          <w:b/>
          <w:bCs/>
        </w:rPr>
        <w:t xml:space="preserve">Requirements and Methodology</w:t>
      </w:r>
      <w:r>
        <w:t xml:space="preserve">, requirements capture, development process, evaluation strategy 4.</w:t>
      </w:r>
      <w:r>
        <w:t xml:space="preserve"> </w:t>
      </w:r>
      <w:r>
        <w:rPr>
          <w:b/>
          <w:bCs/>
        </w:rPr>
        <w:t xml:space="preserve">System Design and Architecture</w:t>
      </w:r>
      <w:r>
        <w:t xml:space="preserve">, layered architecture, data model, algorithms 5.</w:t>
      </w:r>
      <w:r>
        <w:t xml:space="preserve"> </w:t>
      </w:r>
      <w:r>
        <w:rPr>
          <w:b/>
          <w:bCs/>
        </w:rPr>
        <w:t xml:space="preserve">Implementation</w:t>
      </w:r>
      <w:r>
        <w:t xml:space="preserve">, pipeline stages, provider integration, engineering defects and their resolution 6.</w:t>
      </w:r>
      <w:r>
        <w:t xml:space="preserve"> </w:t>
      </w:r>
      <w:r>
        <w:rPr>
          <w:b/>
          <w:bCs/>
        </w:rPr>
        <w:t xml:space="preserve">Evaluation and Results</w:t>
      </w:r>
      <w:r>
        <w:t xml:space="preserve">, gold standard, measured results, performance, failure analysis 7.</w:t>
      </w:r>
      <w:r>
        <w:t xml:space="preserve"> </w:t>
      </w:r>
      <w:r>
        <w:rPr>
          <w:b/>
          <w:bCs/>
        </w:rPr>
        <w:t xml:space="preserve">Discussion</w:t>
      </w:r>
      <w:r>
        <w:t xml:space="preserve">, interpretation, threats to validity, divergence from the proposal 8.</w:t>
      </w:r>
      <w:r>
        <w:t xml:space="preserve"> </w:t>
      </w: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Verified Reference Metadata</w:t>
      </w:r>
    </w:p>
    <w:p>
      <w:r>
        <w:pict>
          <v:rect style="width:0;height:1.5pt" o:hralign="center" o:hrstd="t" o:hr="t"/>
        </w:pict>
      </w:r>
    </w:p>
    <w:bookmarkEnd w:id="13"/>
    <w:bookmarkStart w:id="14"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p>
      <w:r>
        <w:pict>
          <v:rect style="width:0;height:1.5pt" o:hralign="center" o:hrstd="t" o:hr="t"/>
        </w:pict>
      </w:r>
    </w:p>
    <w:bookmarkEnd w:id="14"/>
    <w:bookmarkEnd w:id="15"/>
    <w:bookmarkStart w:id="23" w:name="chapter-1-introduction"/>
    <w:p>
      <w:pPr>
        <w:pStyle w:val="Heading1"/>
      </w:pPr>
      <w:r>
        <w:t xml:space="preserve">Chapter 1: Introduction</w:t>
      </w:r>
    </w:p>
    <w:bookmarkStart w:id="16"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16"/>
    <w:bookmarkStart w:id="17"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17"/>
    <w:bookmarkStart w:id="18"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18"/>
    <w:bookmarkStart w:id="19"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19"/>
    <w:bookmarkStart w:id="20"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Full-text parsing.</w:t>
      </w:r>
      <w:r>
        <w:t xml:space="preserve"> </w:t>
      </w:r>
      <w:r>
        <w:t xml:space="preserve">The project proposal specified GROBID [lopez2009grobid]</w:t>
      </w:r>
      <w:r>
        <w:t xml:space="preserve"> </w:t>
      </w:r>
      <w:r>
        <w:t xml:space="preserve">for PDF structure extraction. This was not implemented. The system reads</w:t>
      </w:r>
      <w:r>
        <w:t xml:space="preserve"> </w:t>
      </w:r>
      <w:r>
        <w:t xml:space="preserve">abstracts only.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0"/>
    <w:bookmarkStart w:id="21"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1"/>
    <w:bookmarkStart w:id="22"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p>
      <w:r>
        <w:pict>
          <v:rect style="width:0;height:1.5pt" o:hralign="center" o:hrstd="t" o:hr="t"/>
        </w:pict>
      </w:r>
    </w:p>
    <w:bookmarkEnd w:id="22"/>
    <w:bookmarkEnd w:id="23"/>
    <w:bookmarkStart w:id="40"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26" w:name="X3c3434a3936d87efe7635b33a4f0c19f8f9e90f"/>
    <w:p>
      <w:pPr>
        <w:pStyle w:val="Heading2"/>
      </w:pPr>
      <w:r>
        <w:t xml:space="preserve">2.1 Citation Indexing and Bibliometric Indicators</w:t>
      </w:r>
    </w:p>
    <w:bookmarkStart w:id="24"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4"/>
    <w:bookmarkStart w:id="25"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5"/>
    <w:bookmarkEnd w:id="26"/>
    <w:bookmarkStart w:id="31" w:name="Xc68e961cae085f1d193dc8b23f9962ef002d445"/>
    <w:p>
      <w:pPr>
        <w:pStyle w:val="Heading2"/>
      </w:pPr>
      <w:r>
        <w:t xml:space="preserve">2.2 Structure and Dynamics of Citation Networks</w:t>
      </w:r>
    </w:p>
    <w:bookmarkStart w:id="27"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27"/>
    <w:bookmarkStart w:id="28"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28"/>
    <w:bookmarkStart w:id="29"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29"/>
    <w:bookmarkStart w:id="30"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0"/>
    <w:bookmarkEnd w:id="31"/>
    <w:bookmarkStart w:id="32"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2"/>
    <w:bookmarkStart w:id="37" w:name="biomedical-information-extraction"/>
    <w:p>
      <w:pPr>
        <w:pStyle w:val="Heading2"/>
      </w:pPr>
      <w:r>
        <w:t xml:space="preserve">2.4 Biomedical Information Extraction</w:t>
      </w:r>
    </w:p>
    <w:bookmarkStart w:id="33"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3"/>
    <w:bookmarkStart w:id="34"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4"/>
    <w:bookmarkStart w:id="35"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5"/>
    <w:bookmarkStart w:id="36"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36"/>
    <w:bookmarkEnd w:id="37"/>
    <w:bookmarkStart w:id="38"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38"/>
    <w:bookmarkStart w:id="39"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p>
      <w:r>
        <w:pict>
          <v:rect style="width:0;height:1.5pt" o:hralign="center" o:hrstd="t" o:hr="t"/>
        </w:pict>
      </w:r>
    </w:p>
    <w:bookmarkEnd w:id="39"/>
    <w:bookmarkEnd w:id="40"/>
    <w:bookmarkStart w:id="58" w:name="chapter-3-requirements-and-methodology"/>
    <w:p>
      <w:pPr>
        <w:pStyle w:val="Heading1"/>
      </w:pPr>
      <w:r>
        <w:t xml:space="preserve">Chapter 3: Requirements and Methodology</w:t>
      </w:r>
    </w:p>
    <w:bookmarkStart w:id="41"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reads abstracts only, and Chapter 6</w:t>
      </w:r>
      <w:r>
        <w:t xml:space="preserve"> </w:t>
      </w:r>
      <w:r>
        <w:t xml:space="preserve">quantifies what that costs.</w:t>
      </w:r>
    </w:p>
    <w:bookmarkEnd w:id="41"/>
    <w:bookmarkStart w:id="47"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2"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2"/>
    <w:bookmarkStart w:id="43"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3"/>
    <w:bookmarkStart w:id="44"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4"/>
    <w:bookmarkStart w:id="45"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5"/>
    <w:bookmarkStart w:id="46"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46"/>
    <w:bookmarkEnd w:id="47"/>
    <w:bookmarkStart w:id="48"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bookmarkEnd w:id="48"/>
    <w:bookmarkStart w:id="51" w:name="development-methodology"/>
    <w:p>
      <w:pPr>
        <w:pStyle w:val="Heading2"/>
      </w:pPr>
      <w:r>
        <w:t xml:space="preserve">3.4 Development Methodology</w:t>
      </w:r>
    </w:p>
    <w:bookmarkStart w:id="49" w:name="process"/>
    <w:p>
      <w:pPr>
        <w:pStyle w:val="Heading3"/>
      </w:pPr>
      <w:r>
        <w:t xml:space="preserve">3.4.1 Process</w:t>
      </w:r>
    </w:p>
    <w:p>
      <w:pPr>
        <w:pStyle w:val="FirstParagraph"/>
      </w:pPr>
      <w:r>
        <w:t xml:space="preserve">Development followed an iterative build–measure–correct cycle rather than a</w:t>
      </w:r>
      <w:r>
        <w:t xml:space="preserve"> </w:t>
      </w:r>
      <w:r>
        <w:t xml:space="preserve">waterfall. Given a four-person team, a fixed academic deadline and external</w:t>
      </w:r>
      <w:r>
        <w:t xml:space="preserve"> </w:t>
      </w:r>
      <w:r>
        <w:t xml:space="preserve">dependencies whose behaviour was not fully known in advance, planning the</w:t>
      </w:r>
      <w:r>
        <w:t xml:space="preserve"> </w:t>
      </w:r>
      <w:r>
        <w:t xml:space="preserve">system completely before building it was not realistic, a judgement the</w:t>
      </w:r>
      <w:r>
        <w:t xml:space="preserve"> </w:t>
      </w:r>
      <w:r>
        <w:t xml:space="preserve">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49"/>
    <w:bookmarkStart w:id="50"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0"/>
    <w:bookmarkEnd w:id="51"/>
    <w:bookmarkStart w:id="57" w:name="evaluation-strategy"/>
    <w:p>
      <w:pPr>
        <w:pStyle w:val="Heading2"/>
      </w:pPr>
      <w:r>
        <w:t xml:space="preserve">3.5 Evaluation Strategy</w:t>
      </w:r>
    </w:p>
    <w:bookmarkStart w:id="52"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2"/>
    <w:bookmarkStart w:id="53"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3"/>
    <w:bookmarkStart w:id="54" w:name="statistical-treatment"/>
    <w:p>
      <w:pPr>
        <w:pStyle w:val="Heading3"/>
      </w:pPr>
      <w:r>
        <w:t xml:space="preserve">3.5.3 Statistical treatment</w:t>
      </w:r>
    </w:p>
    <w:p>
      <w:pPr>
        <w:pStyle w:val="FirstParagraph"/>
      </w:pPr>
      <w:r>
        <w:t xml:space="preserve">Proportions are reported with 95% Wilson score intervals. The Wilson interval</w:t>
      </w:r>
      <w:r>
        <w:t xml:space="preserve"> </w:t>
      </w:r>
      <w:r>
        <w:t xml:space="preserve">is used rather than the normal approximation because the sample is small</w:t>
      </w:r>
      <w:r>
        <w:t xml:space="preserve"> </w:t>
      </w:r>
      <w:r>
        <w:t xml:space="preserve">(n = 20 overall, n = 11 positives), where the normal approximation is</w:t>
      </w:r>
      <w:r>
        <w:t xml:space="preserve"> </w:t>
      </w:r>
      <w:r>
        <w:t xml:space="preserve">unreliable and degenerates entirely at proportions of 0 or 1.</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4"/>
    <w:bookmarkStart w:id="55" w:name="Xf17d870d922ff4c234828a39574d7453a4c851c"/>
    <w:p>
      <w:pPr>
        <w:pStyle w:val="Heading3"/>
      </w:pPr>
      <w:r>
        <w:t xml:space="preserve">3.5.4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Sample sizes stated solely in a full-text Methods section</w:t>
      </w:r>
      <w:r>
        <w:t xml:space="preserve"> </w:t>
      </w:r>
      <w:r>
        <w:t xml:space="preserve">are out of scope. This matches what the pipeline reads, so the evaluation is</w:t>
      </w:r>
      <w:r>
        <w:t xml:space="preserve"> </w:t>
      </w:r>
      <w:r>
        <w:t xml:space="preserve">fair to the system as built, but it does not measure the task in general.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55"/>
    <w:bookmarkStart w:id="56" w:name="what-is-not-evaluated"/>
    <w:p>
      <w:pPr>
        <w:pStyle w:val="Heading3"/>
      </w:pPr>
      <w:r>
        <w:t xml:space="preserve">3.5.5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p>
      <w:r>
        <w:pict>
          <v:rect style="width:0;height:1.5pt" o:hralign="center" o:hrstd="t" o:hr="t"/>
        </w:pict>
      </w:r>
    </w:p>
    <w:bookmarkEnd w:id="56"/>
    <w:bookmarkEnd w:id="57"/>
    <w:bookmarkEnd w:id="58"/>
    <w:bookmarkStart w:id="64" w:name="chapter-3-continued-project-management"/>
    <w:p>
      <w:pPr>
        <w:pStyle w:val="Heading1"/>
      </w:pPr>
      <w:r>
        <w:t xml:space="preserve">Chapter 3 (continued): Project Management</w:t>
      </w:r>
    </w:p>
    <w:bookmarkStart w:id="59" w:name="team-organisation"/>
    <w:p>
      <w:pPr>
        <w:pStyle w:val="Heading2"/>
      </w:pPr>
      <w:r>
        <w:t xml:space="preserve">3.6 Team Organisation</w:t>
      </w:r>
    </w:p>
    <w:p>
      <w:pPr>
        <w:pStyle w:val="FirstParagraph"/>
      </w:pPr>
      <w:r>
        <w:t xml:space="preserve">Four members worked across a pipeline that decomposes naturally into</w:t>
      </w:r>
      <w:r>
        <w:t xml:space="preserve"> </w:t>
      </w:r>
      <w:r>
        <w:t xml:space="preserve">independent modules with narrow interfaces. Ownership was assigned by module so</w:t>
      </w:r>
      <w:r>
        <w:t xml:space="preserve"> </w:t>
      </w:r>
      <w:r>
        <w:t xml:space="preserve">that two people rarely edited the same file, with review shared.</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59"/>
    <w:bookmarkStart w:id="60"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0"/>
    <w:bookmarkStart w:id="61"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1"/>
    <w:bookmarkStart w:id="62"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2"/>
    <w:bookmarkStart w:id="63"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 output against a quantity known independently: how many references the provider reported, or what a human read in the abstract. That costs more to build and is 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p>
      <w:r>
        <w:pict>
          <v:rect style="width:0;height:1.5pt" o:hralign="center" o:hrstd="t" o:hr="t"/>
        </w:pict>
      </w:r>
    </w:p>
    <w:bookmarkEnd w:id="63"/>
    <w:bookmarkEnd w:id="64"/>
    <w:bookmarkStart w:id="88" w:name="chapter-4-system-design-and-architecture"/>
    <w:p>
      <w:pPr>
        <w:pStyle w:val="Heading1"/>
      </w:pPr>
      <w:r>
        <w:t xml:space="preserve">Chapter 4: System Design and Architecture</w:t>
      </w:r>
    </w:p>
    <w:bookmarkStart w:id="66"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bookmarkStart w:id="65"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65"/>
    <w:bookmarkEnd w:id="66"/>
    <w:bookmarkStart w:id="71"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bookmarkStart w:id="67"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67"/>
    <w:bookmarkStart w:id="68"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68"/>
    <w:bookmarkStart w:id="69"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69"/>
    <w:bookmarkStart w:id="70"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bookmarkEnd w:id="70"/>
    <w:bookmarkEnd w:id="71"/>
    <w:bookmarkStart w:id="74" w:name="metadata-resolution-1"/>
    <w:p>
      <w:pPr>
        <w:pStyle w:val="Heading2"/>
      </w:pPr>
      <w:r>
        <w:t xml:space="preserve">4.3 Metadata Resolution</w:t>
      </w:r>
    </w:p>
    <w:bookmarkStart w:id="72"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72"/>
    <w:bookmarkStart w:id="73"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73"/>
    <w:bookmarkEnd w:id="74"/>
    <w:bookmarkStart w:id="79" w:name="citation-traversal-1"/>
    <w:p>
      <w:pPr>
        <w:pStyle w:val="Heading2"/>
      </w:pPr>
      <w:r>
        <w:t xml:space="preserve">4.4 Citation Traversal</w:t>
      </w:r>
    </w:p>
    <w:bookmarkStart w:id="75"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75"/>
    <w:bookmarkStart w:id="76"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76"/>
    <w:bookmarkStart w:id="77"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77"/>
    <w:bookmarkStart w:id="78"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78"/>
    <w:bookmarkEnd w:id="79"/>
    <w:bookmarkStart w:id="83" w:name="edge-weighting"/>
    <w:p>
      <w:pPr>
        <w:pStyle w:val="Heading2"/>
      </w:pPr>
      <w:r>
        <w:t xml:space="preserve">4.5 Edge Weighting</w:t>
      </w:r>
    </w:p>
    <w:bookmarkStart w:id="80"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80"/>
    <w:bookmarkStart w:id="81"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81"/>
    <w:bookmarkStart w:id="82"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82"/>
    <w:bookmarkEnd w:id="83"/>
    <w:bookmarkStart w:id="86" w:name="graph-analytics"/>
    <w:p>
      <w:pPr>
        <w:pStyle w:val="Heading2"/>
      </w:pPr>
      <w:r>
        <w:t xml:space="preserve">4.6 Graph Analytics</w:t>
      </w:r>
    </w:p>
    <w:bookmarkStart w:id="84" w:name="foundational-paper-ranking"/>
    <w:p>
      <w:pPr>
        <w:pStyle w:val="Heading3"/>
      </w:pPr>
      <w:r>
        <w:t xml:space="preserve">4.6.1 Foundational paper ranking</w:t>
      </w:r>
    </w:p>
    <w:p>
      <w:pPr>
        <w:pStyle w:val="SourceCode"/>
      </w:pPr>
      <w:r>
        <w:rPr>
          <w:rStyle w:val="VerbatimChar"/>
        </w:rPr>
        <w:t xml:space="preserve">score = 0.5 · PageRank + 0.3 · year_score + 0.2 · evidence_score</w:t>
      </w:r>
    </w:p>
    <w:p>
      <w:pPr>
        <w:pStyle w:val="FirstParagraph"/>
      </w:pP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is a deliberate inversion of the usual bibliometric bias. Citation</w:t>
      </w:r>
      <w:r>
        <w:t xml:space="preserve"> </w:t>
      </w:r>
      <w:r>
        <w:t xml:space="preserve">counts favour recent, highly visible work [waltman2016review]; this system is</w:t>
      </w:r>
      <w:r>
        <w:t xml:space="preserve"> </w:t>
      </w:r>
      <w:r>
        <w:t xml:space="preserve">looking for origins, so age is rewarded. The weights are not empirically tuned,</w:t>
      </w:r>
      <w:r>
        <w:t xml:space="preserve"> </w:t>
      </w:r>
      <w:r>
        <w:t xml:space="preserve">they were set by judgement and no sensitivity analysis was performed, which</w:t>
      </w:r>
      <w:r>
        <w:t xml:space="preserve"> </w:t>
      </w:r>
      <w:r>
        <w:t xml:space="preserve">Section 7.3 records as a limitation.</w:t>
      </w:r>
    </w:p>
    <w:bookmarkEnd w:id="84"/>
    <w:bookmarkStart w:id="85"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85"/>
    <w:bookmarkEnd w:id="86"/>
    <w:bookmarkStart w:id="87"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p>
      <w:r>
        <w:pict>
          <v:rect style="width:0;height:1.5pt" o:hralign="center" o:hrstd="t" o:hr="t"/>
        </w:pict>
      </w:r>
    </w:p>
    <w:bookmarkEnd w:id="87"/>
    <w:bookmarkEnd w:id="88"/>
    <w:bookmarkStart w:id="109"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92" w:name="algorithm-1-metadata-merge"/>
    <w:p>
      <w:pPr>
        <w:pStyle w:val="Heading2"/>
      </w:pPr>
      <w:r>
        <w:t xml:space="preserve">4.8 Algorithm 1: Metadata Merge</w:t>
      </w:r>
    </w:p>
    <w:bookmarkStart w:id="89"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89"/>
    <w:bookmarkStart w:id="90"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90"/>
    <w:bookmarkStart w:id="91"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91"/>
    <w:bookmarkEnd w:id="92"/>
    <w:bookmarkStart w:id="97" w:name="X21f4fe5b2fe55244ef10d49fb56d32b43d0b7d1"/>
    <w:p>
      <w:pPr>
        <w:pStyle w:val="Heading2"/>
      </w:pPr>
      <w:r>
        <w:t xml:space="preserve">4.9 Algorithm 2: Level-Synchronous Citation Traversal</w:t>
      </w:r>
    </w:p>
    <w:bookmarkStart w:id="93"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93"/>
    <w:bookmarkStart w:id="94"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94"/>
    <w:bookmarkStart w:id="95"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95"/>
    <w:bookmarkStart w:id="96"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96"/>
    <w:bookmarkEnd w:id="97"/>
    <w:bookmarkStart w:id="101" w:name="X1e08855fa8b8e2de20583d56d1f2d1ad6ff29ec"/>
    <w:p>
      <w:pPr>
        <w:pStyle w:val="Heading2"/>
      </w:pPr>
      <w:r>
        <w:t xml:space="preserve">4.10 Algorithm 3: Population Candidate Extraction</w:t>
      </w:r>
    </w:p>
    <w:bookmarkStart w:id="98"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if available, else regex</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98"/>
    <w:bookmarkStart w:id="99"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which is slow for regular expressions and is dominated</w:t>
      </w:r>
      <w:r>
        <w:t xml:space="preserve"> </w:t>
      </w:r>
      <w:r>
        <w:t xml:space="preserve">by spaCy sentence segmentation rather than by matching.</w:t>
      </w:r>
    </w:p>
    <w:bookmarkEnd w:id="99"/>
    <w:bookmarkStart w:id="100" w:name="the-span-versus-sentence-decision"/>
    <w:p>
      <w:pPr>
        <w:pStyle w:val="Heading3"/>
      </w:pPr>
      <w:r>
        <w:t xml:space="preserve">4.10.3 The span-versus-sentence decision</w:t>
      </w:r>
    </w:p>
    <w:p>
      <w:pPr>
        <w:pStyle w:val="FirstParagraph"/>
      </w:pPr>
      <w:r>
        <w:t xml:space="preserve">Lines 8–15 encode the single most consequential correction made to this algorithm. The original implementation evaluated the ignore patterns against 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 in most sentences, the rule discarded the very numbers it existed to protect. Section 5.5 gives the measurement. Evaluating per span preserves the intent, a year is never read as a population, without the collateral loss.</w:t>
      </w:r>
    </w:p>
    <w:bookmarkEnd w:id="100"/>
    <w:bookmarkEnd w:id="101"/>
    <w:bookmarkStart w:id="104" w:name="algorithm-4-population-resolution"/>
    <w:p>
      <w:pPr>
        <w:pStyle w:val="Heading2"/>
      </w:pPr>
      <w:r>
        <w:t xml:space="preserve">4.11 Algorithm 4: Population Resolution</w:t>
      </w:r>
    </w:p>
    <w:bookmarkStart w:id="102"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02"/>
    <w:bookmarkStart w:id="103"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03"/>
    <w:bookmarkEnd w:id="104"/>
    <w:bookmarkStart w:id="108" w:name="algorithm-5-bounded-path-ranking"/>
    <w:p>
      <w:pPr>
        <w:pStyle w:val="Heading2"/>
      </w:pPr>
      <w:r>
        <w:t xml:space="preserve">4.12 Algorithm 5: Bounded Path Ranking</w:t>
      </w:r>
    </w:p>
    <w:bookmarkStart w:id="105"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05"/>
    <w:bookmarkStart w:id="106"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06"/>
    <w:bookmarkStart w:id="107"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 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 once per target vertex, and each call re-explored the entire reachable subgraph to depth 4, yielding only the paths terminating at that target. It also materialised a result dictionary, including a title lookup per node, for every 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p>
      <w:r>
        <w:pict>
          <v:rect style="width:0;height:1.5pt" o:hralign="center" o:hrstd="t" o:hr="t"/>
        </w:pict>
      </w:r>
    </w:p>
    <w:bookmarkEnd w:id="107"/>
    <w:bookmarkEnd w:id="108"/>
    <w:bookmarkEnd w:id="109"/>
    <w:bookmarkStart w:id="133"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10"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10"/>
    <w:bookmarkStart w:id="111" w:name="pipeline-orchestration"/>
    <w:p>
      <w:pPr>
        <w:pStyle w:val="Heading2"/>
      </w:pPr>
      <w:r>
        <w:t xml:space="preserve">5.2 Pipeline Orchestration</w:t>
      </w:r>
    </w:p>
    <w:p>
      <w:pPr>
        <w:pStyle w:val="FirstParagraph"/>
      </w:pPr>
      <w:r>
        <w:t xml:space="preserve">The orchestrator executes nine stages in sequence: normalise input, resolve</w:t>
      </w:r>
      <w:r>
        <w:t xml:space="preserve"> </w:t>
      </w:r>
      <w:r>
        <w:t xml:space="preserve">seed, traverse citations, backfill abstracts, extract populations, resolve</w:t>
      </w:r>
      <w:r>
        <w:t xml:space="preserve"> </w:t>
      </w:r>
      <w:r>
        <w:t xml:space="preserve">populations, weight edges, build graph, run analytics. Each stage is a separate</w:t>
      </w:r>
      <w:r>
        <w:t xml:space="preserve"> </w:t>
      </w:r>
      <w:r>
        <w:t xml:space="preserve">module; the orchestrator holds no domain logic beyond sequencing and the</w:t>
      </w:r>
      <w:r>
        <w:t xml:space="preserve"> </w:t>
      </w:r>
      <w:r>
        <w:t xml:space="preserve">assembly of warnings.</w:t>
      </w:r>
    </w:p>
    <w:p>
      <w:pPr>
        <w:pStyle w:val="BodyText"/>
      </w:pPr>
      <w:r>
        <w:t xml:space="preserve">Runs execute as background tasks. A</w:t>
      </w:r>
      <w:r>
        <w:t xml:space="preserve"> </w:t>
      </w:r>
      <w:r>
        <w:rPr>
          <w:rStyle w:val="VerbatimChar"/>
        </w:rPr>
        <w:t xml:space="preserve">POST</w:t>
      </w:r>
      <w:r>
        <w:t xml:space="preserve"> </w:t>
      </w:r>
      <w:r>
        <w:t xml:space="preserve">returns a run identifier immediately, and the client polls. This is necessary because runs take tens of seconds to minutes, Section 6.6 characterises the distribution, which far exceeds a reasonable HTTP timeout.</w:t>
      </w:r>
    </w:p>
    <w:bookmarkEnd w:id="111"/>
    <w:bookmarkStart w:id="116" w:name="Xde757563e4ae70471e7b3a2e19337cfb87ec8c6"/>
    <w:p>
      <w:pPr>
        <w:pStyle w:val="Heading2"/>
      </w:pPr>
      <w:r>
        <w:t xml:space="preserve">5.3 Defect 1: Traversal Discarding the Majority of Every Graph</w:t>
      </w:r>
    </w:p>
    <w:bookmarkStart w:id="112"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12"/>
    <w:bookmarkStart w:id="113"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13"/>
    <w:bookmarkStart w:id="114"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14"/>
    <w:bookmarkStart w:id="115"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15"/>
    <w:bookmarkEnd w:id="116"/>
    <w:bookmarkStart w:id="120" w:name="Xc609cee7fc77e58635ee19e1cc6728e2d04a0a0"/>
    <w:p>
      <w:pPr>
        <w:pStyle w:val="Heading2"/>
      </w:pPr>
      <w:r>
        <w:t xml:space="preserve">5.4 Defect 2: A Single Null Field Discarding Batches of Fifty</w:t>
      </w:r>
    </w:p>
    <w:bookmarkStart w:id="117"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17"/>
    <w:bookmarkStart w:id="118"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18"/>
    <w:bookmarkStart w:id="119"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19"/>
    <w:bookmarkEnd w:id="120"/>
    <w:bookmarkStart w:id="124" w:name="X36b7f81446d9b67fd12067aa30c87782e8f11c4"/>
    <w:p>
      <w:pPr>
        <w:pStyle w:val="Heading2"/>
      </w:pPr>
      <w:r>
        <w:t xml:space="preserve">5.5 Defect 3: Ignore Rules Discarding the Numbers They Protect</w:t>
      </w:r>
    </w:p>
    <w:bookmarkStart w:id="121" w:name="symptom-2"/>
    <w:p>
      <w:pPr>
        <w:pStyle w:val="Heading3"/>
      </w:pPr>
      <w:r>
        <w:t xml:space="preserve">5.5.1 Symptom</w:t>
      </w:r>
    </w:p>
    <w:p>
      <w:pPr>
        <w:pStyle w:val="FirstParagraph"/>
      </w:pPr>
      <w:r>
        <w:t xml:space="preserve">Only 15% of papers in a typical graph received any population evidence.</w:t>
      </w:r>
    </w:p>
    <w:bookmarkEnd w:id="121"/>
    <w:bookmarkStart w:id="122"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22"/>
    <w:bookmarkStart w:id="123"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 data on the first 425 confirmed cases" matched nothing, because no pattern covered</w:t>
      </w:r>
      <w:r>
        <w:t xml:space="preserve"> </w:t>
      </w:r>
      <w:r>
        <w:rPr>
          <w:i/>
          <w:iCs/>
        </w:rPr>
        <w:t xml:space="preserve">cases</w:t>
      </w:r>
      <w:r>
        <w:t xml:space="preserve">. Patterns were added for the phrasings observational papers 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 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 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23"/>
    <w:bookmarkEnd w:id="124"/>
    <w:bookmarkStart w:id="128" w:name="defect-4-edge-weights-collapsing-to-zero"/>
    <w:p>
      <w:pPr>
        <w:pStyle w:val="Heading2"/>
      </w:pPr>
      <w:r>
        <w:t xml:space="preserve">5.6 Defect 4: Edge Weights Collapsing to Zero</w:t>
      </w:r>
    </w:p>
    <w:bookmarkStart w:id="125"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25"/>
    <w:bookmarkStart w:id="126"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 replaced by 1.0, and PageRank ran</w:t>
      </w:r>
      <w:r>
        <w:t xml:space="preserve"> </w:t>
      </w:r>
      <w:r>
        <w:rPr>
          <w:b/>
          <w:bCs/>
        </w:rPr>
        <w:t xml:space="preserve">unweighted</w:t>
      </w:r>
      <w:r>
        <w:t xml:space="preserve">. The system's central claim, evidence-weighted citation analysis, was not operating, and the fallback that concealed it was an accident of truthiness rather than a designed behaviour.</w:t>
      </w:r>
    </w:p>
    <w:bookmarkEnd w:id="126"/>
    <w:bookmarkStart w:id="127"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27"/>
    <w:bookmarkEnd w:id="128"/>
    <w:bookmarkStart w:id="129"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 private addresses, and the fetched page's</w:t>
      </w:r>
      <w:r>
        <w:t xml:space="preserve"> </w:t>
      </w:r>
      <w:r>
        <w:rPr>
          <w:rStyle w:val="VerbatimChar"/>
        </w:rPr>
        <w:t xml:space="preserve">citation_title</w:t>
      </w:r>
      <w:r>
        <w:t xml:space="preserve"> </w:t>
      </w:r>
      <w:r>
        <w:t xml:space="preserve">was forwarded to Crossref and Europe PMC as a search term, a narrow but real exfiltration 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29"/>
    <w:bookmarkStart w:id="130"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 a row, the previous hand-rolled formatting never escaped the journal field at all, and carry a UTF-8 byte-order mark so spreadsheet software renders accented author names correctly. An edge-list export and a GraphML export were added; the frontend had offered GraphML as a format although no such route existed.</w:t>
      </w:r>
    </w:p>
    <w:bookmarkEnd w:id="130"/>
    <w:bookmarkStart w:id="131"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31"/>
    <w:bookmarkStart w:id="132"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p>
      <w:r>
        <w:pict>
          <v:rect style="width:0;height:1.5pt" o:hralign="center" o:hrstd="t" o:hr="t"/>
        </w:pict>
      </w:r>
    </w:p>
    <w:bookmarkEnd w:id="132"/>
    <w:bookmarkEnd w:id="133"/>
    <w:bookmarkStart w:id="144"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35"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34"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34"/>
    <w:bookmarkEnd w:id="135"/>
    <w:bookmarkStart w:id="136"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36"/>
    <w:bookmarkStart w:id="141"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37"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 panel. The three states are visually distinct. A number presented without its status invites the reader to treat an ambiguous extraction as a settled fact.</w:t>
      </w:r>
    </w:p>
    <w:bookmarkEnd w:id="137"/>
    <w:bookmarkStart w:id="138"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38"/>
    <w:bookmarkStart w:id="139"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39"/>
    <w:bookmarkStart w:id="140"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40"/>
    <w:bookmarkEnd w:id="141"/>
    <w:bookmarkStart w:id="142"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42"/>
    <w:bookmarkStart w:id="143"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p>
      <w:r>
        <w:pict>
          <v:rect style="width:0;height:1.5pt" o:hralign="center" o:hrstd="t" o:hr="t"/>
        </w:pict>
      </w:r>
    </w:p>
    <w:bookmarkEnd w:id="143"/>
    <w:bookmarkEnd w:id="144"/>
    <w:bookmarkStart w:id="164"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48" w:name="gold-standard"/>
    <w:p>
      <w:pPr>
        <w:pStyle w:val="Heading2"/>
      </w:pPr>
      <w:r>
        <w:t xml:space="preserve">6.1 Gold Standard</w:t>
      </w:r>
    </w:p>
    <w:bookmarkStart w:id="145"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45"/>
    <w:bookmarkStart w:id="146"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46"/>
    <w:bookmarkStart w:id="147"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 3.5.4 apply throughout: single annotator who</w:t>
      </w:r>
      <w:r>
        <w:t xml:space="preserve"> </w:t>
      </w:r>
      <w:r>
        <w:t xml:space="preserve">is also a system author, no inter-annotator agreement, twenty papers, abstracts</w:t>
      </w:r>
      <w:r>
        <w:t xml:space="preserve"> </w:t>
      </w:r>
      <w:r>
        <w:t xml:space="preserve">only, biomedical concentration.</w:t>
      </w:r>
    </w:p>
    <w:bookmarkEnd w:id="147"/>
    <w:bookmarkEnd w:id="148"/>
    <w:bookmarkStart w:id="149"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49"/>
    <w:bookmarkStart w:id="150"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50"/>
    <w:bookmarkStart w:id="155" w:name="population-extraction-1"/>
    <w:p>
      <w:pPr>
        <w:pStyle w:val="Heading2"/>
      </w:pPr>
      <w:r>
        <w:t xml:space="preserve">6.4 Population Extraction</w:t>
      </w:r>
    </w:p>
    <w:bookmarkStart w:id="151"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51"/>
    <w:bookmarkStart w:id="152"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52"/>
    <w:bookmarkStart w:id="153"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 numerically equal, a trial that randomises 4,744 and analyses 4,744 differs only in framing. The first error has a traceable cause: the phrase "A total of 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 randomisation-specific one. This is a pattern-priority defect, not an inherent 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53"/>
    <w:bookmarkStart w:id="154"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systematic review of</w:t>
      </w:r>
      <w:r>
        <w:t xml:space="preserve"> </w:t>
      </w:r>
      <w:r>
        <w:t xml:space="preserve">prediction models. The system extracted</w:t>
      </w:r>
      <w:r>
        <w:t xml:space="preserve"> </w:t>
      </w:r>
      <w:r>
        <w:rPr>
          <w:b/>
          <w:bCs/>
        </w:rPr>
        <w:t xml:space="preserve">27</w:t>
      </w:r>
      <w:r>
        <w:t xml:space="preserve"> </w:t>
      </w:r>
      <w:r>
        <w:t xml:space="preserve">with confidence</w:t>
      </w:r>
      <w:r>
        <w:t xml:space="preserve"> </w:t>
      </w:r>
      <w:r>
        <w:rPr>
          <w:b/>
          <w:bCs/>
        </w:rPr>
        <w:t xml:space="preserve">0.90</w:t>
      </w:r>
      <w:r>
        <w:t xml:space="preserv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 Section 8.2 proposes</w:t>
      </w:r>
      <w:r>
        <w:t xml:space="preserve"> </w:t>
      </w:r>
      <w:r>
        <w:t xml:space="preserve">calibration against held-out data as the remedy.</w:t>
      </w:r>
    </w:p>
    <w:bookmarkEnd w:id="154"/>
    <w:bookmarkEnd w:id="155"/>
    <w:bookmarkStart w:id="156"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A qualitative observation: seeded with the 2021</w:t>
      </w:r>
      <w:r>
        <w:t xml:space="preserve"> </w:t>
      </w:r>
      <w:r>
        <w:t xml:space="preserve">AlphaFold paper, the top-ranked foundational paper was Anfinsen's 1973</w:t>
      </w:r>
      <w:r>
        <w:t xml:space="preserve"> </w:t>
      </w:r>
      <w:r>
        <w:rPr>
          <w:i/>
          <w:iCs/>
        </w:rPr>
        <w:t xml:space="preserve">"Principles that Govern the Folding of Protein Chains"</w:t>
      </w:r>
      <w:r>
        <w:t xml:space="preserve">, the work that founded</w:t>
      </w:r>
      <w:r>
        <w:t xml:space="preserve"> </w:t>
      </w:r>
      <w:r>
        <w:t xml:space="preserve">the protein-folding problem. This is the behaviour the design intends. It is an</w:t>
      </w:r>
      <w:r>
        <w:t xml:space="preserve"> </w:t>
      </w:r>
      <w:r>
        <w:t xml:space="preserve">anecdote, not a measurement. No relevance judgement study was conducted, no</w:t>
      </w:r>
      <w:r>
        <w:t xml:space="preserve"> </w:t>
      </w:r>
      <w:r>
        <w:t xml:space="preserve">comparison against unweighted PageRank was run, and a single favourable example</w:t>
      </w:r>
      <w:r>
        <w:t xml:space="preserve"> </w:t>
      </w:r>
      <w:r>
        <w:t xml:space="preserve">does not establish that evidence weighting improves ranking. Section 7.3</w:t>
      </w:r>
      <w:r>
        <w:t xml:space="preserve"> </w:t>
      </w:r>
      <w:r>
        <w:t xml:space="preserve">records this as the principal unaddressed question.</w:t>
      </w:r>
    </w:p>
    <w:bookmarkEnd w:id="156"/>
    <w:bookmarkStart w:id="161" w:name="performance"/>
    <w:p>
      <w:pPr>
        <w:pStyle w:val="Heading2"/>
      </w:pPr>
      <w:r>
        <w:t xml:space="preserve">6.6 Performance</w:t>
      </w:r>
    </w:p>
    <w:bookmarkStart w:id="157"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57"/>
    <w:bookmarkStart w:id="158"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58"/>
    <w:bookmarkStart w:id="159"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59"/>
    <w:bookmarkStart w:id="160"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60"/>
    <w:bookmarkEnd w:id="161"/>
    <w:bookmarkStart w:id="162"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62"/>
    <w:bookmarkStart w:id="163"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p>
      <w:r>
        <w:pict>
          <v:rect style="width:0;height:1.5pt" o:hralign="center" o:hrstd="t" o:hr="t"/>
        </w:pict>
      </w:r>
    </w:p>
    <w:bookmarkEnd w:id="163"/>
    <w:bookmarkEnd w:id="164"/>
    <w:bookmarkStart w:id="170" w:name="chapter-6-continued-extended-analysis"/>
    <w:p>
      <w:pPr>
        <w:pStyle w:val="Heading1"/>
      </w:pPr>
      <w:r>
        <w:t xml:space="preserve">Chapter 6 (continued): Extended Analysis</w:t>
      </w:r>
    </w:p>
    <w:bookmarkStart w:id="165"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 a reporting convention that surface patterns capture well: a single headline 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65"/>
    <w:bookmarkStart w:id="166"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66"/>
    <w:bookmarkStart w:id="167"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 neighbours to resolve, which reinforces the finding in Section 6.6.1 that cost is driven by the number of external lookups rather than by graph computation.</w:t>
      </w:r>
    </w:p>
    <w:bookmarkEnd w:id="167"/>
    <w:bookmarkStart w:id="168"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68"/>
    <w:bookmarkStart w:id="169"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p>
      <w:r>
        <w:pict>
          <v:rect style="width:0;height:1.5pt" o:hralign="center" o:hrstd="t" o:hr="t"/>
        </w:pict>
      </w:r>
    </w:p>
    <w:bookmarkEnd w:id="169"/>
    <w:bookmarkEnd w:id="170"/>
    <w:bookmarkStart w:id="185" w:name="chapter-7-discussion"/>
    <w:p>
      <w:pPr>
        <w:pStyle w:val="Heading1"/>
      </w:pPr>
      <w:r>
        <w:t xml:space="preserve">Chapter 7: Discussion</w:t>
      </w:r>
    </w:p>
    <w:bookmarkStart w:id="175" w:name="interpretation-of-results"/>
    <w:p>
      <w:pPr>
        <w:pStyle w:val="Heading2"/>
      </w:pPr>
      <w:r>
        <w:t xml:space="preserve">7.1 Interpretation of Results</w:t>
      </w:r>
    </w:p>
    <w:bookmarkStart w:id="171"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171"/>
    <w:bookmarkStart w:id="172"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172"/>
    <w:bookmarkStart w:id="173"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173"/>
    <w:bookmarkStart w:id="174"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174"/>
    <w:bookmarkEnd w:id="175"/>
    <w:bookmarkStart w:id="176"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 quantities</w:t>
      </w:r>
      <w:r>
        <w:t xml:space="preserve">: comparing the number of nodes retrieved against the number of references the provider reported, comparing extracted populations against hand-read abstracts, timing each stage. Notably, the evaluation plan that would have caught most of these was specified in the project proposal from the start and left unimplemented, the empty</w:t>
      </w:r>
      <w:r>
        <w:t xml:space="preserve"> </w:t>
      </w:r>
      <w:r>
        <w:rPr>
          <w:rStyle w:val="VerbatimChar"/>
        </w:rPr>
        <w:t xml:space="preserve">evaluation/</w:t>
      </w:r>
      <w:r>
        <w:t xml:space="preserve"> </w:t>
      </w:r>
      <w:r>
        <w:t xml:space="preserve">directory was itself the strongest early warning available, and nothing in the repository made its emptiness visible.</w:t>
      </w:r>
    </w:p>
    <w:bookmarkEnd w:id="176"/>
    <w:bookmarkStart w:id="181" w:name="threats-to-validity"/>
    <w:p>
      <w:pPr>
        <w:pStyle w:val="Heading2"/>
      </w:pPr>
      <w:r>
        <w:t xml:space="preserve">7.3 Threats to Validity</w:t>
      </w:r>
    </w:p>
    <w:bookmarkStart w:id="177"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177"/>
    <w:bookmarkStart w:id="178"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178"/>
    <w:bookmarkStart w:id="179"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179"/>
    <w:bookmarkStart w:id="180" w:name="conclusion-validity"/>
    <w:p>
      <w:pPr>
        <w:pStyle w:val="Heading3"/>
      </w:pPr>
      <w:r>
        <w:t xml:space="preserve">7.3.4 Conclusion validity</w:t>
      </w:r>
    </w:p>
    <w:p>
      <w:pPr>
        <w:pStyle w:val="FirstParagraph"/>
      </w:pPr>
      <w:r>
        <w:rPr>
          <w:b/>
          <w:bCs/>
        </w:rPr>
        <w:t xml:space="preserve">No comparative baseline.</w:t>
      </w:r>
      <w:r>
        <w:t xml:space="preserve"> </w:t>
      </w:r>
      <w:r>
        <w:t xml:space="preserve">The central question, does evidence-weighted</w:t>
      </w:r>
      <w:r>
        <w:t xml:space="preserve"> </w:t>
      </w:r>
      <w:r>
        <w:t xml:space="preserve">ranking outperform unweighted PageRank?, was</w:t>
      </w:r>
      <w:r>
        <w:t xml:space="preserve"> </w:t>
      </w:r>
      <w:r>
        <w:rPr>
          <w:b/>
          <w:bCs/>
        </w:rPr>
        <w:t xml:space="preserve">not tested</w:t>
      </w:r>
      <w:r>
        <w:t xml:space="preserve">. No A/B comparison</w:t>
      </w:r>
      <w:r>
        <w:t xml:space="preserve"> </w:t>
      </w:r>
      <w:r>
        <w:t xml:space="preserve">was run and no human relevance judgements were collected. The AlphaFold-to-</w:t>
      </w:r>
      <w:r>
        <w:t xml:space="preserve"> </w:t>
      </w:r>
      <w:r>
        <w:t xml:space="preserve">Anfinsen result in Section 6.5 is a single favourable anecdote. This thesis</w:t>
      </w:r>
      <w:r>
        <w:t xml:space="preserve"> </w:t>
      </w:r>
      <w:r>
        <w:t xml:space="preserve">therefore demonstrates that evidence-weighted ranking</w:t>
      </w:r>
      <w:r>
        <w:t xml:space="preserve"> </w:t>
      </w:r>
      <w:r>
        <w:rPr>
          <w:i/>
          <w:iCs/>
        </w:rPr>
        <w:t xml:space="preserve">can be computed</w:t>
      </w:r>
      <w:r>
        <w:t xml:space="preserve"> </w:t>
      </w:r>
      <w:r>
        <w:t xml:space="preserve">and</w:t>
      </w:r>
      <w:r>
        <w:t xml:space="preserve"> </w:t>
      </w:r>
      <w:r>
        <w:rPr>
          <w:i/>
          <w:iCs/>
        </w:rPr>
        <w:t xml:space="preserve">produces plausible output</w:t>
      </w:r>
      <w:r>
        <w:t xml:space="preserve">, not that it is better. That is the most</w:t>
      </w:r>
      <w:r>
        <w:t xml:space="preserve"> </w:t>
      </w:r>
      <w:r>
        <w:t xml:space="preserve">significant unaddressed question in the work.</w:t>
      </w:r>
    </w:p>
    <w:bookmarkEnd w:id="180"/>
    <w:bookmarkEnd w:id="181"/>
    <w:bookmarkStart w:id="182"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is abstract-only. Sample sizes stated only in Methods are unreachable.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182"/>
    <w:bookmarkStart w:id="183"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2"/>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2"/>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2"/>
        </w:numPr>
      </w:pPr>
      <w:r>
        <w:rPr>
          <w:b/>
          <w:bCs/>
        </w:rPr>
        <w:t xml:space="preserve">Confidence is uncalibrated</w:t>
      </w:r>
      <w:r>
        <w:t xml:space="preserve"> </w:t>
      </w:r>
      <w:r>
        <w:t xml:space="preserve">(§6.4.4).</w:t>
      </w:r>
    </w:p>
    <w:p>
      <w:pPr>
        <w:pStyle w:val="Compact"/>
        <w:numPr>
          <w:ilvl w:val="0"/>
          <w:numId w:val="1012"/>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2"/>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183"/>
    <w:bookmarkStart w:id="184"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which is a consequence of the</w:t>
      </w:r>
      <w:r>
        <w:t xml:space="preserve"> </w:t>
      </w:r>
      <w:r>
        <w:t xml:space="preserve">abstract-only scope: the legal question that made full text difficult is the</w:t>
      </w:r>
      <w:r>
        <w:t xml:space="preserve"> </w:t>
      </w:r>
      <w:r>
        <w:t xml:space="preserve">same one that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p>
      <w:r>
        <w:pict>
          <v:rect style="width:0;height:1.5pt" o:hralign="center" o:hrstd="t" o:hr="t"/>
        </w:pict>
      </w:r>
    </w:p>
    <w:bookmarkEnd w:id="184"/>
    <w:bookmarkEnd w:id="185"/>
    <w:bookmarkStart w:id="197" w:name="chapter-8-conclusion-and-future-work"/>
    <w:p>
      <w:pPr>
        <w:pStyle w:val="Heading1"/>
      </w:pPr>
      <w:r>
        <w:t xml:space="preserve">Chapter 8: Conclusion and Future Work</w:t>
      </w:r>
    </w:p>
    <w:bookmarkStart w:id="186"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The</w:t>
      </w:r>
      <w:r>
        <w:t xml:space="preserve"> </w:t>
      </w:r>
      <w:r>
        <w:t xml:space="preserve">system produces plausible output, seeded with the 2021 AlphaFold paper it</w:t>
      </w:r>
      <w:r>
        <w:t xml:space="preserve"> </w:t>
      </w:r>
      <w:r>
        <w:t xml:space="preserve">surfaced Anfinsen's 1973 paper founding the protein-folding problem, but no</w:t>
      </w:r>
      <w:r>
        <w:t xml:space="preserve"> </w:t>
      </w:r>
      <w:r>
        <w:t xml:space="preserve">relevance judgement study was run and no comparison against unweighted PageRank</w:t>
      </w:r>
      <w:r>
        <w:t xml:space="preserve"> </w:t>
      </w:r>
      <w:r>
        <w:t xml:space="preserve">was performed. This thesis shows the ranking</w:t>
      </w:r>
      <w:r>
        <w:t xml:space="preserve"> </w:t>
      </w:r>
      <w:r>
        <w:rPr>
          <w:i/>
          <w:iCs/>
        </w:rPr>
        <w:t xml:space="preserve">can be computed</w:t>
      </w:r>
      <w:r>
        <w:t xml:space="preserve"> </w:t>
      </w:r>
      <w:r>
        <w:t xml:space="preserve">and</w:t>
      </w:r>
      <w:r>
        <w:t xml:space="preserve"> </w:t>
      </w:r>
      <w:r>
        <w:rPr>
          <w:i/>
          <w:iCs/>
        </w:rPr>
        <w:t xml:space="preserve">looks</w:t>
      </w:r>
      <w:r>
        <w:rPr>
          <w:i/>
          <w:iCs/>
        </w:rPr>
        <w:t xml:space="preserve"> </w:t>
      </w:r>
      <w:r>
        <w:rPr>
          <w:i/>
          <w:iCs/>
        </w:rPr>
        <w:t xml:space="preserve">sensible</w:t>
      </w:r>
      <w:r>
        <w:t xml:space="preserve">, not that it is better than the unweighted baseline. This is the</w:t>
      </w:r>
      <w:r>
        <w:t xml:space="preserve"> </w:t>
      </w:r>
      <w:r>
        <w:t xml:space="preserve">principal unaddressed 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does not read full text, and its</w:t>
      </w:r>
      <w:r>
        <w:t xml:space="preserve"> </w:t>
      </w:r>
      <w:r>
        <w:t xml:space="preserve">uncertainty signalling is weaker than its interface implies.</w:t>
      </w:r>
    </w:p>
    <w:bookmarkEnd w:id="186"/>
    <w:bookmarkStart w:id="195" w:name="future-work"/>
    <w:p>
      <w:pPr>
        <w:pStyle w:val="Heading2"/>
      </w:pPr>
      <w:r>
        <w:t xml:space="preserve">8.2 Future Work</w:t>
      </w:r>
    </w:p>
    <w:p>
      <w:pPr>
        <w:pStyle w:val="FirstParagraph"/>
      </w:pPr>
      <w:r>
        <w:t xml:space="preserve">Ordered by expected value relative to cost.</w:t>
      </w:r>
    </w:p>
    <w:bookmarkStart w:id="187"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187"/>
    <w:bookmarkStart w:id="188" w:name="compare-against-an-unweighted-baseline"/>
    <w:p>
      <w:pPr>
        <w:pStyle w:val="Heading3"/>
      </w:pPr>
      <w:r>
        <w:t xml:space="preserve">8.2.2 Compare against an unweighted baseline</w:t>
      </w:r>
    </w:p>
    <w:p>
      <w:pPr>
        <w:pStyle w:val="FirstParagraph"/>
      </w:pPr>
      <w:r>
        <w:t xml:space="preserve">The central unanswered question (§7.3.4). A comparison of evidence-weighted</w:t>
      </w:r>
      <w:r>
        <w:t xml:space="preserve"> </w:t>
      </w:r>
      <w:r>
        <w:t xml:space="preserve">against unweighted PageRank, with domain readers judging the relevance of</w:t>
      </w:r>
      <w:r>
        <w:t xml:space="preserve"> </w:t>
      </w:r>
      <w:r>
        <w:t xml:space="preserve">ranked outputs blind to condition, would establish whether the weighting helps.</w:t>
      </w:r>
      <w:r>
        <w:t xml:space="preserve"> </w:t>
      </w:r>
      <w:r>
        <w:t xml:space="preserve">Without it, the system's core premise is plausible but untested. This is the</w:t>
      </w:r>
      <w:r>
        <w:t xml:space="preserve"> </w:t>
      </w:r>
      <w:r>
        <w:t xml:space="preserve">first experiment a continuation of this work should run.</w:t>
      </w:r>
    </w:p>
    <w:bookmarkEnd w:id="188"/>
    <w:bookmarkStart w:id="189"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189"/>
    <w:bookmarkStart w:id="190"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190"/>
    <w:bookmarkStart w:id="191"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Europe PMC provides open-access full text,</w:t>
      </w:r>
      <w:r>
        <w:t xml:space="preserve"> </w:t>
      </w:r>
      <w:r>
        <w:t xml:space="preserve">and GROBID [lopez2009grobid] is already anticipated in the configuration.</w:t>
      </w:r>
      <w:r>
        <w:t xml:space="preserve"> </w:t>
      </w:r>
      <w:r>
        <w:t xml:space="preserve">Unpaywall [martin2021oadoi] would determine which articles are legally</w:t>
      </w:r>
      <w:r>
        <w:t xml:space="preserve"> </w:t>
      </w:r>
      <w:r>
        <w:t xml:space="preserve">retrievable, keeping the system within the bounds §7.6 describes.</w:t>
      </w:r>
    </w:p>
    <w:bookmarkEnd w:id="191"/>
    <w:bookmarkStart w:id="192"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192"/>
    <w:bookmarkStart w:id="193"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193"/>
    <w:bookmarkStart w:id="194" w:name="citation-context-and-sentiment"/>
    <w:p>
      <w:pPr>
        <w:pStyle w:val="Heading3"/>
      </w:pPr>
      <w:r>
        <w:t xml:space="preserve">8.2.8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194"/>
    <w:bookmarkEnd w:id="195"/>
    <w:bookmarkStart w:id="196"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p>
      <w:r>
        <w:pict>
          <v:rect style="width:0;height:1.5pt" o:hralign="center" o:hrstd="t" o:hr="t"/>
        </w:pict>
      </w:r>
    </w:p>
    <w:bookmarkEnd w:id="196"/>
    <w:bookmarkEnd w:id="197"/>
    <w:bookmarkStart w:id="203"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198"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198"/>
    <w:bookmarkStart w:id="199"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199"/>
    <w:bookmarkStart w:id="200"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00"/>
    <w:bookmarkStart w:id="201"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01"/>
    <w:bookmarkStart w:id="202"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p>
      <w:r>
        <w:pict>
          <v:rect style="width:0;height:1.5pt" o:hralign="center" o:hrstd="t" o:hr="t"/>
        </w:pict>
      </w:r>
    </w:p>
    <w:bookmarkEnd w:id="202"/>
    <w:bookmarkEnd w:id="203"/>
    <w:bookmarkStart w:id="210"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04"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04"/>
    <w:bookmarkStart w:id="205"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05"/>
    <w:bookmarkStart w:id="206"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06"/>
    <w:bookmarkStart w:id="207"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07"/>
    <w:bookmarkStart w:id="208"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no PDF parsing is implemented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08"/>
    <w:bookmarkStart w:id="209"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p>
      <w:r>
        <w:pict>
          <v:rect style="width:0;height:1.5pt" o:hralign="center" o:hrstd="t" o:hr="t"/>
        </w:pict>
      </w:r>
    </w:p>
    <w:bookmarkEnd w:id="209"/>
    <w:bookmarkEnd w:id="210"/>
    <w:bookmarkStart w:id="219"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11"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 identified callers from a faster "polite pool"; without it, request latency, which Section 6.6 shows dominates runtime, is materially worse.</w:t>
      </w:r>
    </w:p>
    <w:bookmarkEnd w:id="211"/>
    <w:bookmarkStart w:id="212"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102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12"/>
    <w:bookmarkStart w:id="213"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13"/>
    <w:bookmarkStart w:id="214"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14"/>
    <w:bookmarkStart w:id="215"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bookmarkEnd w:id="215"/>
    <w:bookmarkStart w:id="216" w:name="c.6-rendering-to-pdf"/>
    <w:p>
      <w:pPr>
        <w:pStyle w:val="Heading2"/>
      </w:pPr>
      <w:r>
        <w:t xml:space="preserve">C.6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16"/>
    <w:bookmarkStart w:id="217" w:name="c.7-running-the-system"/>
    <w:p>
      <w:pPr>
        <w:pStyle w:val="Heading2"/>
      </w:pPr>
      <w:r>
        <w:t xml:space="preserve">C.7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17"/>
    <w:bookmarkStart w:id="218" w:name="c.8-a-caveat-on-exact-reproduction"/>
    <w:p>
      <w:pPr>
        <w:pStyle w:val="Heading2"/>
      </w:pPr>
      <w:r>
        <w:t xml:space="preserve">C.8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p>
      <w:r>
        <w:pict>
          <v:rect style="width:0;height:1.5pt" o:hralign="center" o:hrstd="t" o:hr="t"/>
        </w:pict>
      </w:r>
    </w:p>
    <w:bookmarkEnd w:id="218"/>
    <w:bookmarkEnd w:id="219"/>
    <w:bookmarkStart w:id="242"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20"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20"/>
    <w:bookmarkStart w:id="241" w:name="d.2-annotations-with-supporting-evidence"/>
    <w:p>
      <w:pPr>
        <w:pStyle w:val="Heading2"/>
      </w:pPr>
      <w:r>
        <w:t xml:space="preserve">D.2 Annotations with supporting evidence</w:t>
      </w:r>
    </w:p>
    <w:bookmarkStart w:id="221" w:name="d.2.1-10.1056nejmoa2034577"/>
    <w:p>
      <w:pPr>
        <w:pStyle w:val="Heading3"/>
      </w:pPr>
      <w:r>
        <w:t xml:space="preserve">D.2.1</w:t>
      </w:r>
      <w:r>
        <w:t xml:space="preserve"> </w:t>
      </w:r>
      <w:r>
        <w:rPr>
          <w:rStyle w:val="VerbatimChar"/>
        </w:rPr>
        <w:t xml:space="preserve">10.1056/nejmoa2034577</w:t>
      </w:r>
    </w:p>
    <w:p>
      <w:pPr>
        <w:pStyle w:val="Compact"/>
        <w:numPr>
          <w:ilvl w:val="0"/>
          <w:numId w:val="1013"/>
        </w:numPr>
      </w:pPr>
      <w:r>
        <w:rPr>
          <w:b/>
          <w:bCs/>
        </w:rPr>
        <w:t xml:space="preserve">Design:</w:t>
      </w:r>
      <w:r>
        <w:t xml:space="preserve"> </w:t>
      </w:r>
      <w:r>
        <w:t xml:space="preserve">rct</w:t>
      </w:r>
    </w:p>
    <w:p>
      <w:pPr>
        <w:pStyle w:val="Compact"/>
        <w:numPr>
          <w:ilvl w:val="0"/>
          <w:numId w:val="1013"/>
        </w:numPr>
      </w:pPr>
      <w:r>
        <w:rPr>
          <w:b/>
          <w:bCs/>
        </w:rPr>
        <w:t xml:space="preserve">Gold n_eff:</w:t>
      </w:r>
      <w:r>
        <w:t xml:space="preserve"> </w:t>
      </w:r>
      <w:r>
        <w:t xml:space="preserve">43548</w:t>
      </w:r>
    </w:p>
    <w:p>
      <w:pPr>
        <w:pStyle w:val="Compact"/>
        <w:numPr>
          <w:ilvl w:val="0"/>
          <w:numId w:val="1013"/>
        </w:numPr>
      </w:pPr>
      <w:r>
        <w:rPr>
          <w:b/>
          <w:bCs/>
        </w:rPr>
        <w:t xml:space="preserve">Gold semantic type:</w:t>
      </w:r>
      <w:r>
        <w:t xml:space="preserve"> </w:t>
      </w:r>
      <w:r>
        <w:t xml:space="preserve">TOTAL_RANDOMIZED</w:t>
      </w:r>
    </w:p>
    <w:p>
      <w:pPr>
        <w:pStyle w:val="Compact"/>
        <w:numPr>
          <w:ilvl w:val="0"/>
          <w:numId w:val="1013"/>
        </w:numPr>
      </w:pPr>
      <w:r>
        <w:rPr>
          <w:b/>
          <w:bCs/>
        </w:rPr>
        <w:t xml:space="preserve">Supporting evidence:</w:t>
      </w:r>
      <w:r>
        <w:t xml:space="preserve"> </w:t>
      </w:r>
      <w:r>
        <w:t xml:space="preserve">A total of 43,548 participants underwent randomization, of whom 43,448 received injections.</w:t>
      </w:r>
    </w:p>
    <w:bookmarkEnd w:id="221"/>
    <w:bookmarkStart w:id="222" w:name="d.2.2-10.1056nejmoa2035389"/>
    <w:p>
      <w:pPr>
        <w:pStyle w:val="Heading3"/>
      </w:pPr>
      <w:r>
        <w:t xml:space="preserve">D.2.2</w:t>
      </w:r>
      <w:r>
        <w:t xml:space="preserve"> </w:t>
      </w:r>
      <w:r>
        <w:rPr>
          <w:rStyle w:val="VerbatimChar"/>
        </w:rPr>
        <w:t xml:space="preserve">10.1056/nejmoa2035389</w:t>
      </w:r>
    </w:p>
    <w:p>
      <w:pPr>
        <w:pStyle w:val="Compact"/>
        <w:numPr>
          <w:ilvl w:val="0"/>
          <w:numId w:val="1014"/>
        </w:numPr>
      </w:pPr>
      <w:r>
        <w:rPr>
          <w:b/>
          <w:bCs/>
        </w:rPr>
        <w:t xml:space="preserve">Design:</w:t>
      </w:r>
      <w:r>
        <w:t xml:space="preserve"> </w:t>
      </w:r>
      <w:r>
        <w:t xml:space="preserve">rct</w:t>
      </w:r>
    </w:p>
    <w:p>
      <w:pPr>
        <w:pStyle w:val="Compact"/>
        <w:numPr>
          <w:ilvl w:val="0"/>
          <w:numId w:val="1014"/>
        </w:numPr>
      </w:pPr>
      <w:r>
        <w:rPr>
          <w:b/>
          <w:bCs/>
        </w:rPr>
        <w:t xml:space="preserve">Gold n_eff:</w:t>
      </w:r>
      <w:r>
        <w:t xml:space="preserve"> </w:t>
      </w:r>
      <w:r>
        <w:t xml:space="preserve">30420</w:t>
      </w:r>
    </w:p>
    <w:p>
      <w:pPr>
        <w:pStyle w:val="Compact"/>
        <w:numPr>
          <w:ilvl w:val="0"/>
          <w:numId w:val="1014"/>
        </w:numPr>
      </w:pPr>
      <w:r>
        <w:rPr>
          <w:b/>
          <w:bCs/>
        </w:rPr>
        <w:t xml:space="preserve">Gold semantic type:</w:t>
      </w:r>
      <w:r>
        <w:t xml:space="preserve"> </w:t>
      </w:r>
      <w:r>
        <w:t xml:space="preserve">TOTAL_ENROLLED</w:t>
      </w:r>
    </w:p>
    <w:p>
      <w:pPr>
        <w:pStyle w:val="Compact"/>
        <w:numPr>
          <w:ilvl w:val="0"/>
          <w:numId w:val="1014"/>
        </w:numPr>
      </w:pPr>
      <w:r>
        <w:rPr>
          <w:b/>
          <w:bCs/>
        </w:rPr>
        <w:t xml:space="preserve">Supporting evidence:</w:t>
      </w:r>
      <w:r>
        <w:t xml:space="preserve"> </w:t>
      </w:r>
      <w:r>
        <w:t xml:space="preserve">The trial enrolled 30,420 volunteers who were randomly assigned in a 1:1 ratio.</w:t>
      </w:r>
    </w:p>
    <w:bookmarkEnd w:id="222"/>
    <w:bookmarkStart w:id="223" w:name="d.2.3-10.1056nejmoa1911303"/>
    <w:p>
      <w:pPr>
        <w:pStyle w:val="Heading3"/>
      </w:pPr>
      <w:r>
        <w:t xml:space="preserve">D.2.3</w:t>
      </w:r>
      <w:r>
        <w:t xml:space="preserve"> </w:t>
      </w:r>
      <w:r>
        <w:rPr>
          <w:rStyle w:val="VerbatimChar"/>
        </w:rPr>
        <w:t xml:space="preserve">10.1056/nejmoa1911303</w:t>
      </w:r>
    </w:p>
    <w:p>
      <w:pPr>
        <w:pStyle w:val="Compact"/>
        <w:numPr>
          <w:ilvl w:val="0"/>
          <w:numId w:val="1015"/>
        </w:numPr>
      </w:pPr>
      <w:r>
        <w:rPr>
          <w:b/>
          <w:bCs/>
        </w:rPr>
        <w:t xml:space="preserve">Design:</w:t>
      </w:r>
      <w:r>
        <w:t xml:space="preserve"> </w:t>
      </w:r>
      <w:r>
        <w:t xml:space="preserve">rct</w:t>
      </w:r>
    </w:p>
    <w:p>
      <w:pPr>
        <w:pStyle w:val="Compact"/>
        <w:numPr>
          <w:ilvl w:val="0"/>
          <w:numId w:val="1015"/>
        </w:numPr>
      </w:pPr>
      <w:r>
        <w:rPr>
          <w:b/>
          <w:bCs/>
        </w:rPr>
        <w:t xml:space="preserve">Gold n_eff:</w:t>
      </w:r>
      <w:r>
        <w:t xml:space="preserve"> </w:t>
      </w:r>
      <w:r>
        <w:t xml:space="preserve">4744</w:t>
      </w:r>
    </w:p>
    <w:p>
      <w:pPr>
        <w:pStyle w:val="Compact"/>
        <w:numPr>
          <w:ilvl w:val="0"/>
          <w:numId w:val="1015"/>
        </w:numPr>
      </w:pPr>
      <w:r>
        <w:rPr>
          <w:b/>
          <w:bCs/>
        </w:rPr>
        <w:t xml:space="preserve">Gold semantic type:</w:t>
      </w:r>
      <w:r>
        <w:t xml:space="preserve"> </w:t>
      </w:r>
      <w:r>
        <w:t xml:space="preserve">TOTAL_RANDOMIZED</w:t>
      </w:r>
    </w:p>
    <w:p>
      <w:pPr>
        <w:pStyle w:val="Compact"/>
        <w:numPr>
          <w:ilvl w:val="0"/>
          <w:numId w:val="1015"/>
        </w:numPr>
      </w:pPr>
      <w:r>
        <w:rPr>
          <w:b/>
          <w:bCs/>
        </w:rPr>
        <w:t xml:space="preserve">Supporting evidence:</w:t>
      </w:r>
      <w:r>
        <w:t xml:space="preserve"> </w:t>
      </w:r>
      <w:r>
        <w:t xml:space="preserve">we randomly assigned 4744 patients with New York Heart Association class II, III, or IV heart failure</w:t>
      </w:r>
    </w:p>
    <w:bookmarkEnd w:id="223"/>
    <w:bookmarkStart w:id="224" w:name="d.2.4-10.1056nejmoa1812389"/>
    <w:p>
      <w:pPr>
        <w:pStyle w:val="Heading3"/>
      </w:pPr>
      <w:r>
        <w:t xml:space="preserve">D.2.4</w:t>
      </w:r>
      <w:r>
        <w:t xml:space="preserve"> </w:t>
      </w:r>
      <w:r>
        <w:rPr>
          <w:rStyle w:val="VerbatimChar"/>
        </w:rPr>
        <w:t xml:space="preserve">10.1056/nejmoa1812389</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17160</w:t>
      </w:r>
    </w:p>
    <w:p>
      <w:pPr>
        <w:pStyle w:val="Compact"/>
        <w:numPr>
          <w:ilvl w:val="0"/>
          <w:numId w:val="1016"/>
        </w:numPr>
      </w:pPr>
      <w:r>
        <w:rPr>
          <w:b/>
          <w:bCs/>
        </w:rPr>
        <w:t xml:space="preserve">Gold semantic type:</w:t>
      </w:r>
      <w:r>
        <w:t xml:space="preserve"> </w:t>
      </w:r>
      <w:r>
        <w:t xml:space="preserve">TOTAL_ANALYZED</w:t>
      </w:r>
    </w:p>
    <w:p>
      <w:pPr>
        <w:pStyle w:val="Compact"/>
        <w:numPr>
          <w:ilvl w:val="0"/>
          <w:numId w:val="1016"/>
        </w:numPr>
      </w:pPr>
      <w:r>
        <w:rPr>
          <w:b/>
          <w:bCs/>
        </w:rPr>
        <w:t xml:space="preserve">Supporting evidence:</w:t>
      </w:r>
      <w:r>
        <w:t xml:space="preserve"> </w:t>
      </w:r>
      <w:r>
        <w:t xml:space="preserve">We evaluated 17,160 patients, including 10,186 without atherosclerotic cardiovascular disease.</w:t>
      </w:r>
    </w:p>
    <w:bookmarkEnd w:id="224"/>
    <w:bookmarkStart w:id="225" w:name="d.2.5-10.1016s0140-67362031604-4"/>
    <w:p>
      <w:pPr>
        <w:pStyle w:val="Heading3"/>
      </w:pPr>
      <w:r>
        <w:t xml:space="preserve">D.2.5</w:t>
      </w:r>
      <w:r>
        <w:t xml:space="preserve"> </w:t>
      </w:r>
      <w:r>
        <w:rPr>
          <w:rStyle w:val="VerbatimChar"/>
        </w:rPr>
        <w:t xml:space="preserve">10.1016/s0140-6736(20)31604-4</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1077</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1077 participants were enrolled and assigned to receive either ChAdOx1 nCoV-19 (n=543) or MenACWY (n=534)</w:t>
      </w:r>
    </w:p>
    <w:bookmarkEnd w:id="225"/>
    <w:bookmarkStart w:id="226" w:name="d.2.6-10.1056nejmoa2002032"/>
    <w:p>
      <w:pPr>
        <w:pStyle w:val="Heading3"/>
      </w:pPr>
      <w:r>
        <w:t xml:space="preserve">D.2.6</w:t>
      </w:r>
      <w:r>
        <w:t xml:space="preserve"> </w:t>
      </w:r>
      <w:r>
        <w:rPr>
          <w:rStyle w:val="VerbatimChar"/>
        </w:rPr>
        <w:t xml:space="preserve">10.1056/nejmoa2002032</w:t>
      </w:r>
    </w:p>
    <w:p>
      <w:pPr>
        <w:pStyle w:val="Compact"/>
        <w:numPr>
          <w:ilvl w:val="0"/>
          <w:numId w:val="1018"/>
        </w:numPr>
      </w:pPr>
      <w:r>
        <w:rPr>
          <w:b/>
          <w:bCs/>
        </w:rPr>
        <w:t xml:space="preserve">Design:</w:t>
      </w:r>
      <w:r>
        <w:t xml:space="preserve"> </w:t>
      </w:r>
      <w:r>
        <w:t xml:space="preserve">cohort</w:t>
      </w:r>
    </w:p>
    <w:p>
      <w:pPr>
        <w:pStyle w:val="Compact"/>
        <w:numPr>
          <w:ilvl w:val="0"/>
          <w:numId w:val="1018"/>
        </w:numPr>
      </w:pPr>
      <w:r>
        <w:rPr>
          <w:b/>
          <w:bCs/>
        </w:rPr>
        <w:t xml:space="preserve">Gold n_eff:</w:t>
      </w:r>
      <w:r>
        <w:t xml:space="preserve"> </w:t>
      </w:r>
      <w:r>
        <w:t xml:space="preserve">1099</w:t>
      </w:r>
    </w:p>
    <w:p>
      <w:pPr>
        <w:pStyle w:val="Compact"/>
        <w:numPr>
          <w:ilvl w:val="0"/>
          <w:numId w:val="1018"/>
        </w:numPr>
      </w:pPr>
      <w:r>
        <w:rPr>
          <w:b/>
          <w:bCs/>
        </w:rPr>
        <w:t xml:space="preserve">Gold semantic type:</w:t>
      </w:r>
      <w:r>
        <w:t xml:space="preserve"> </w:t>
      </w:r>
      <w:r>
        <w:t xml:space="preserve">TOTAL_ANALYZED</w:t>
      </w:r>
    </w:p>
    <w:p>
      <w:pPr>
        <w:pStyle w:val="Compact"/>
        <w:numPr>
          <w:ilvl w:val="0"/>
          <w:numId w:val="1018"/>
        </w:numPr>
      </w:pPr>
      <w:r>
        <w:rPr>
          <w:b/>
          <w:bCs/>
        </w:rPr>
        <w:t xml:space="preserve">Supporting evidence:</w:t>
      </w:r>
      <w:r>
        <w:t xml:space="preserve"> </w:t>
      </w:r>
      <w:r>
        <w:t xml:space="preserve">We extracted data regarding 1099 patients with laboratory-confirmed Covid-19 from 552 hospitals.</w:t>
      </w:r>
    </w:p>
    <w:bookmarkEnd w:id="226"/>
    <w:bookmarkStart w:id="227" w:name="d.2.7-10.1016s0140-67362030183-5"/>
    <w:p>
      <w:pPr>
        <w:pStyle w:val="Heading3"/>
      </w:pPr>
      <w:r>
        <w:t xml:space="preserve">D.2.7</w:t>
      </w:r>
      <w:r>
        <w:t xml:space="preserve"> </w:t>
      </w:r>
      <w:r>
        <w:rPr>
          <w:rStyle w:val="VerbatimChar"/>
        </w:rPr>
        <w:t xml:space="preserve">10.1016/s0140-6736(20)30183-5</w:t>
      </w:r>
    </w:p>
    <w:p>
      <w:pPr>
        <w:pStyle w:val="Compact"/>
        <w:numPr>
          <w:ilvl w:val="0"/>
          <w:numId w:val="1019"/>
        </w:numPr>
      </w:pPr>
      <w:r>
        <w:rPr>
          <w:b/>
          <w:bCs/>
        </w:rPr>
        <w:t xml:space="preserve">Design:</w:t>
      </w:r>
      <w:r>
        <w:t xml:space="preserve"> </w:t>
      </w:r>
      <w:r>
        <w:t xml:space="preserve">case_series</w:t>
      </w:r>
    </w:p>
    <w:p>
      <w:pPr>
        <w:pStyle w:val="Compact"/>
        <w:numPr>
          <w:ilvl w:val="0"/>
          <w:numId w:val="1019"/>
        </w:numPr>
      </w:pPr>
      <w:r>
        <w:rPr>
          <w:b/>
          <w:bCs/>
        </w:rPr>
        <w:t xml:space="preserve">Gold n_eff:</w:t>
      </w:r>
      <w:r>
        <w:t xml:space="preserve"> </w:t>
      </w:r>
      <w:r>
        <w:t xml:space="preserve">41</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By Jan 2, 2020, 41 admitted hospital patients had been identified as having laboratory-confirmed 2019-nCoV infection.</w:t>
      </w:r>
    </w:p>
    <w:bookmarkEnd w:id="227"/>
    <w:bookmarkStart w:id="228" w:name="d.2.8-10.1001jama.2020.1585"/>
    <w:p>
      <w:pPr>
        <w:pStyle w:val="Heading3"/>
      </w:pPr>
      <w:r>
        <w:t xml:space="preserve">D.2.8</w:t>
      </w:r>
      <w:r>
        <w:t xml:space="preserve"> </w:t>
      </w:r>
      <w:r>
        <w:rPr>
          <w:rStyle w:val="VerbatimChar"/>
        </w:rPr>
        <w:t xml:space="preserve">10.1001/jama.2020.1585</w:t>
      </w:r>
    </w:p>
    <w:p>
      <w:pPr>
        <w:pStyle w:val="Compact"/>
        <w:numPr>
          <w:ilvl w:val="0"/>
          <w:numId w:val="1020"/>
        </w:numPr>
      </w:pPr>
      <w:r>
        <w:rPr>
          <w:b/>
          <w:bCs/>
        </w:rPr>
        <w:t xml:space="preserve">Design:</w:t>
      </w:r>
      <w:r>
        <w:t xml:space="preserve"> </w:t>
      </w:r>
      <w:r>
        <w:t xml:space="preserve">case_series</w:t>
      </w:r>
    </w:p>
    <w:p>
      <w:pPr>
        <w:pStyle w:val="Compact"/>
        <w:numPr>
          <w:ilvl w:val="0"/>
          <w:numId w:val="1020"/>
        </w:numPr>
      </w:pPr>
      <w:r>
        <w:rPr>
          <w:b/>
          <w:bCs/>
        </w:rPr>
        <w:t xml:space="preserve">Gold n_eff:</w:t>
      </w:r>
      <w:r>
        <w:t xml:space="preserve"> </w:t>
      </w:r>
      <w:r>
        <w:t xml:space="preserve">138</w:t>
      </w:r>
    </w:p>
    <w:p>
      <w:pPr>
        <w:pStyle w:val="Compact"/>
        <w:numPr>
          <w:ilvl w:val="0"/>
          <w:numId w:val="1020"/>
        </w:numPr>
      </w:pPr>
      <w:r>
        <w:rPr>
          <w:b/>
          <w:bCs/>
        </w:rPr>
        <w:t xml:space="preserve">Gold semantic type:</w:t>
      </w:r>
      <w:r>
        <w:t xml:space="preserve"> </w:t>
      </w:r>
      <w:r>
        <w:t xml:space="preserve">TOTAL_ANALYZED</w:t>
      </w:r>
    </w:p>
    <w:p>
      <w:pPr>
        <w:pStyle w:val="Compact"/>
        <w:numPr>
          <w:ilvl w:val="0"/>
          <w:numId w:val="1020"/>
        </w:numPr>
      </w:pPr>
      <w:r>
        <w:rPr>
          <w:b/>
          <w:bCs/>
        </w:rPr>
        <w:t xml:space="preserve">Supporting evidence:</w:t>
      </w:r>
      <w:r>
        <w:t xml:space="preserve"> </w:t>
      </w:r>
      <w:r>
        <w:t xml:space="preserve">Retrospective, single-center case series of the 138 consecutive hospitalized patients with confirmed NCIP.</w:t>
      </w:r>
    </w:p>
    <w:bookmarkEnd w:id="228"/>
    <w:bookmarkStart w:id="229" w:name="d.2.9-10.1056nejmoa2001316"/>
    <w:p>
      <w:pPr>
        <w:pStyle w:val="Heading3"/>
      </w:pPr>
      <w:r>
        <w:t xml:space="preserve">D.2.9</w:t>
      </w:r>
      <w:r>
        <w:t xml:space="preserve"> </w:t>
      </w:r>
      <w:r>
        <w:rPr>
          <w:rStyle w:val="VerbatimChar"/>
        </w:rPr>
        <w:t xml:space="preserve">10.1056/nejmoa2001316</w:t>
      </w:r>
    </w:p>
    <w:p>
      <w:pPr>
        <w:pStyle w:val="Compact"/>
        <w:numPr>
          <w:ilvl w:val="0"/>
          <w:numId w:val="1021"/>
        </w:numPr>
      </w:pPr>
      <w:r>
        <w:rPr>
          <w:b/>
          <w:bCs/>
        </w:rPr>
        <w:t xml:space="preserve">Design:</w:t>
      </w:r>
      <w:r>
        <w:t xml:space="preserve"> </w:t>
      </w:r>
      <w:r>
        <w:t xml:space="preserve">epidemiological</w:t>
      </w:r>
    </w:p>
    <w:p>
      <w:pPr>
        <w:pStyle w:val="Compact"/>
        <w:numPr>
          <w:ilvl w:val="0"/>
          <w:numId w:val="1021"/>
        </w:numPr>
      </w:pPr>
      <w:r>
        <w:rPr>
          <w:b/>
          <w:bCs/>
        </w:rPr>
        <w:t xml:space="preserve">Gold n_eff:</w:t>
      </w:r>
      <w:r>
        <w:t xml:space="preserve"> </w:t>
      </w:r>
      <w:r>
        <w:t xml:space="preserve">425</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analyzed data on the first 425 confirmed cases in Wuhan.</w:t>
      </w:r>
    </w:p>
    <w:bookmarkEnd w:id="229"/>
    <w:bookmarkStart w:id="230" w:name="d.2.10-10.1016s2213-26002030079-5"/>
    <w:p>
      <w:pPr>
        <w:pStyle w:val="Heading3"/>
      </w:pPr>
      <w:r>
        <w:t xml:space="preserve">D.2.10</w:t>
      </w:r>
      <w:r>
        <w:t xml:space="preserve"> </w:t>
      </w:r>
      <w:r>
        <w:rPr>
          <w:rStyle w:val="VerbatimChar"/>
        </w:rPr>
        <w:t xml:space="preserve">10.1016/s2213-2600(20)30079-5</w:t>
      </w:r>
    </w:p>
    <w:p>
      <w:pPr>
        <w:pStyle w:val="Compact"/>
        <w:numPr>
          <w:ilvl w:val="0"/>
          <w:numId w:val="1022"/>
        </w:numPr>
      </w:pPr>
      <w:r>
        <w:rPr>
          <w:b/>
          <w:bCs/>
        </w:rPr>
        <w:t xml:space="preserve">Design:</w:t>
      </w:r>
      <w:r>
        <w:t xml:space="preserve"> </w:t>
      </w:r>
      <w:r>
        <w:t xml:space="preserve">cohort</w:t>
      </w:r>
    </w:p>
    <w:p>
      <w:pPr>
        <w:pStyle w:val="Compact"/>
        <w:numPr>
          <w:ilvl w:val="0"/>
          <w:numId w:val="1022"/>
        </w:numPr>
      </w:pPr>
      <w:r>
        <w:rPr>
          <w:b/>
          <w:bCs/>
        </w:rPr>
        <w:t xml:space="preserve">Gold n_eff:</w:t>
      </w:r>
      <w:r>
        <w:t xml:space="preserve"> </w:t>
      </w:r>
      <w:r>
        <w:t xml:space="preserve">52</w:t>
      </w:r>
    </w:p>
    <w:p>
      <w:pPr>
        <w:pStyle w:val="Compact"/>
        <w:numPr>
          <w:ilvl w:val="0"/>
          <w:numId w:val="1022"/>
        </w:numPr>
      </w:pPr>
      <w:r>
        <w:rPr>
          <w:b/>
          <w:bCs/>
        </w:rPr>
        <w:t xml:space="preserve">Gold semantic type:</w:t>
      </w:r>
      <w:r>
        <w:t xml:space="preserve"> </w:t>
      </w:r>
      <w:r>
        <w:t xml:space="preserve">TOTAL_ENROLLED</w:t>
      </w:r>
    </w:p>
    <w:p>
      <w:pPr>
        <w:pStyle w:val="Compact"/>
        <w:numPr>
          <w:ilvl w:val="0"/>
          <w:numId w:val="1022"/>
        </w:numPr>
      </w:pPr>
      <w:r>
        <w:rPr>
          <w:b/>
          <w:bCs/>
        </w:rPr>
        <w:t xml:space="preserve">Supporting evidence:</w:t>
      </w:r>
      <w:r>
        <w:t xml:space="preserve"> </w:t>
      </w:r>
      <w:r>
        <w:t xml:space="preserve">we enrolled 52 critically ill adult patients with SARS-CoV-2 pneumonia.</w:t>
      </w:r>
    </w:p>
    <w:bookmarkEnd w:id="230"/>
    <w:bookmarkStart w:id="231" w:name="d.2.11-10.1016s1473-30992030243-7"/>
    <w:p>
      <w:pPr>
        <w:pStyle w:val="Heading3"/>
      </w:pPr>
      <w:r>
        <w:t xml:space="preserve">D.2.11</w:t>
      </w:r>
      <w:r>
        <w:t xml:space="preserve"> </w:t>
      </w:r>
      <w:r>
        <w:rPr>
          <w:rStyle w:val="VerbatimChar"/>
        </w:rPr>
        <w:t xml:space="preserve">10.1016/s1473-3099(20)30243-7</w:t>
      </w:r>
    </w:p>
    <w:p>
      <w:pPr>
        <w:pStyle w:val="Compact"/>
        <w:numPr>
          <w:ilvl w:val="0"/>
          <w:numId w:val="1023"/>
        </w:numPr>
      </w:pPr>
      <w:r>
        <w:rPr>
          <w:b/>
          <w:bCs/>
        </w:rPr>
        <w:t xml:space="preserve">Design:</w:t>
      </w:r>
      <w:r>
        <w:t xml:space="preserve"> </w:t>
      </w:r>
      <w:r>
        <w:t xml:space="preserve">modelling</w:t>
      </w:r>
    </w:p>
    <w:p>
      <w:pPr>
        <w:pStyle w:val="Compact"/>
        <w:numPr>
          <w:ilvl w:val="0"/>
          <w:numId w:val="1023"/>
        </w:numPr>
      </w:pPr>
      <w:r>
        <w:rPr>
          <w:b/>
          <w:bCs/>
        </w:rPr>
        <w:t xml:space="preserve">Gold n_eff:</w:t>
      </w:r>
      <w:r>
        <w:t xml:space="preserve"> </w:t>
      </w:r>
      <w:r>
        <w:t xml:space="preserve">1334</w:t>
      </w:r>
    </w:p>
    <w:p>
      <w:pPr>
        <w:pStyle w:val="Compact"/>
        <w:numPr>
          <w:ilvl w:val="0"/>
          <w:numId w:val="1023"/>
        </w:numPr>
      </w:pPr>
      <w:r>
        <w:rPr>
          <w:b/>
          <w:bCs/>
        </w:rPr>
        <w:t xml:space="preserve">Gold semantic type:</w:t>
      </w:r>
      <w:r>
        <w:t xml:space="preserve"> </w:t>
      </w:r>
      <w:r>
        <w:t xml:space="preserve">SAMPLE_SIZE_GENERIC</w:t>
      </w:r>
    </w:p>
    <w:p>
      <w:pPr>
        <w:pStyle w:val="Compact"/>
        <w:numPr>
          <w:ilvl w:val="0"/>
          <w:numId w:val="1023"/>
        </w:numPr>
      </w:pPr>
      <w:r>
        <w:rPr>
          <w:b/>
          <w:bCs/>
        </w:rPr>
        <w:t xml:space="preserve">Supporting evidence:</w:t>
      </w:r>
      <w:r>
        <w:t xml:space="preserve"> </w:t>
      </w:r>
      <w:r>
        <w:t xml:space="preserve">We also estimated the case fatality ratio from individual line-list data on 1334 cases identified outside of mainland China.</w:t>
      </w:r>
    </w:p>
    <w:bookmarkEnd w:id="231"/>
    <w:bookmarkStart w:id="232" w:name="d.2.12-10.1056nejmoa2001017"/>
    <w:p>
      <w:pPr>
        <w:pStyle w:val="Heading3"/>
      </w:pPr>
      <w:r>
        <w:t xml:space="preserve">D.2.12</w:t>
      </w:r>
      <w:r>
        <w:t xml:space="preserve"> </w:t>
      </w:r>
      <w:r>
        <w:rPr>
          <w:rStyle w:val="VerbatimChar"/>
        </w:rPr>
        <w:t xml:space="preserve">10.1056/nejmoa2001017</w:t>
      </w:r>
    </w:p>
    <w:p>
      <w:pPr>
        <w:pStyle w:val="Compact"/>
        <w:numPr>
          <w:ilvl w:val="0"/>
          <w:numId w:val="1024"/>
        </w:numPr>
      </w:pPr>
      <w:r>
        <w:rPr>
          <w:b/>
          <w:bCs/>
        </w:rPr>
        <w:t xml:space="preserve">Design:</w:t>
      </w:r>
      <w:r>
        <w:t xml:space="preserve"> </w:t>
      </w:r>
      <w:r>
        <w:t xml:space="preserve">virus_characterisation</w:t>
      </w:r>
    </w:p>
    <w:p>
      <w:pPr>
        <w:pStyle w:val="Compact"/>
        <w:numPr>
          <w:ilvl w:val="0"/>
          <w:numId w:val="1024"/>
        </w:numPr>
      </w:pPr>
      <w:r>
        <w:rPr>
          <w:b/>
          <w:bCs/>
        </w:rPr>
        <w:t xml:space="preserve">Gold n_eff:</w:t>
      </w:r>
      <w:r>
        <w:t xml:space="preserve"> </w:t>
      </w:r>
      <w:r>
        <w:t xml:space="preserve">none (negative case)</w:t>
      </w:r>
    </w:p>
    <w:p>
      <w:pPr>
        <w:pStyle w:val="Compact"/>
        <w:numPr>
          <w:ilvl w:val="0"/>
          <w:numId w:val="1024"/>
        </w:numPr>
      </w:pPr>
      <w:r>
        <w:rPr>
          <w:b/>
          <w:bCs/>
        </w:rPr>
        <w:t xml:space="preserve">Gold semantic type:</w:t>
      </w:r>
      <w:r>
        <w:t xml:space="preserve"> </w:t>
      </w:r>
      <w:r>
        <w:t xml:space="preserve">n/a</w:t>
      </w:r>
    </w:p>
    <w:p>
      <w:pPr>
        <w:pStyle w:val="Compact"/>
        <w:numPr>
          <w:ilvl w:val="0"/>
          <w:numId w:val="1024"/>
        </w:numPr>
      </w:pPr>
      <w:r>
        <w:rPr>
          <w:b/>
          <w:bCs/>
        </w:rPr>
        <w:t xml:space="preserve">Supporting evidence:</w:t>
      </w:r>
      <w:r>
        <w:t xml:space="preserve"> </w:t>
      </w:r>
      <w:r>
        <w:t xml:space="preserve">Abstract describes isolation of a novel betacoronavirus; no study population size is stated.</w:t>
      </w:r>
    </w:p>
    <w:bookmarkEnd w:id="232"/>
    <w:bookmarkStart w:id="233" w:name="d.2.13-10.1038s41586-020-2012-7"/>
    <w:p>
      <w:pPr>
        <w:pStyle w:val="Heading3"/>
      </w:pPr>
      <w:r>
        <w:t xml:space="preserve">D.2.13</w:t>
      </w:r>
      <w:r>
        <w:t xml:space="preserve"> </w:t>
      </w:r>
      <w:r>
        <w:rPr>
          <w:rStyle w:val="VerbatimChar"/>
        </w:rPr>
        <w:t xml:space="preserve">10.1038/s41586-020-2012-7</w:t>
      </w:r>
    </w:p>
    <w:p>
      <w:pPr>
        <w:pStyle w:val="Compact"/>
        <w:numPr>
          <w:ilvl w:val="0"/>
          <w:numId w:val="1025"/>
        </w:numPr>
      </w:pPr>
      <w:r>
        <w:rPr>
          <w:b/>
          <w:bCs/>
        </w:rPr>
        <w:t xml:space="preserve">Design:</w:t>
      </w:r>
      <w:r>
        <w:t xml:space="preserve"> </w:t>
      </w:r>
      <w:r>
        <w:t xml:space="preserve">virus_characterisation</w:t>
      </w:r>
    </w:p>
    <w:p>
      <w:pPr>
        <w:pStyle w:val="Compact"/>
        <w:numPr>
          <w:ilvl w:val="0"/>
          <w:numId w:val="1025"/>
        </w:numPr>
      </w:pPr>
      <w:r>
        <w:rPr>
          <w:b/>
          <w:bCs/>
        </w:rPr>
        <w:t xml:space="preserve">Gold n_eff:</w:t>
      </w:r>
      <w:r>
        <w:t xml:space="preserve"> </w:t>
      </w:r>
      <w:r>
        <w:t xml:space="preserve">none (negative case)</w:t>
      </w:r>
    </w:p>
    <w:p>
      <w:pPr>
        <w:pStyle w:val="Compact"/>
        <w:numPr>
          <w:ilvl w:val="0"/>
          <w:numId w:val="1025"/>
        </w:numPr>
      </w:pPr>
      <w:r>
        <w:rPr>
          <w:b/>
          <w:bCs/>
        </w:rPr>
        <w:t xml:space="preserve">Gold semantic type:</w:t>
      </w:r>
      <w:r>
        <w:t xml:space="preserve"> </w:t>
      </w:r>
      <w:r>
        <w:t xml:space="preserve">n/a</w:t>
      </w:r>
    </w:p>
    <w:p>
      <w:pPr>
        <w:pStyle w:val="Compact"/>
        <w:numPr>
          <w:ilvl w:val="0"/>
          <w:numId w:val="1025"/>
        </w:numPr>
      </w:pPr>
      <w:r>
        <w:rPr>
          <w:b/>
          <w:bCs/>
        </w:rPr>
        <w:t xml:space="preserve">Supporting evidence:</w:t>
      </w:r>
      <w:r>
        <w:t xml:space="preserve"> </w:t>
      </w:r>
      <w:r>
        <w:t xml:space="preserve">HARD NEGATIVE: '2,794 laboratory-confirmed infections including 80 deaths' is an epidemic tally, not this study's sample.</w:t>
      </w:r>
    </w:p>
    <w:bookmarkEnd w:id="233"/>
    <w:bookmarkStart w:id="234" w:name="d.2.14-10.1136bmj.m1328"/>
    <w:p>
      <w:pPr>
        <w:pStyle w:val="Heading3"/>
      </w:pPr>
      <w:r>
        <w:t xml:space="preserve">D.2.14</w:t>
      </w:r>
      <w:r>
        <w:t xml:space="preserve"> </w:t>
      </w:r>
      <w:r>
        <w:rPr>
          <w:rStyle w:val="VerbatimChar"/>
        </w:rPr>
        <w:t xml:space="preserve">10.1136/bmj.m1328</w:t>
      </w:r>
    </w:p>
    <w:p>
      <w:pPr>
        <w:pStyle w:val="Compact"/>
        <w:numPr>
          <w:ilvl w:val="0"/>
          <w:numId w:val="1026"/>
        </w:numPr>
      </w:pPr>
      <w:r>
        <w:rPr>
          <w:b/>
          <w:bCs/>
        </w:rPr>
        <w:t xml:space="preserve">Design:</w:t>
      </w:r>
      <w:r>
        <w:t xml:space="preserve"> </w:t>
      </w:r>
      <w:r>
        <w:t xml:space="preserve">systematic_review</w:t>
      </w:r>
    </w:p>
    <w:p>
      <w:pPr>
        <w:pStyle w:val="Compact"/>
        <w:numPr>
          <w:ilvl w:val="0"/>
          <w:numId w:val="1026"/>
        </w:numPr>
      </w:pPr>
      <w:r>
        <w:rPr>
          <w:b/>
          <w:bCs/>
        </w:rPr>
        <w:t xml:space="preserve">Gold n_eff:</w:t>
      </w:r>
      <w:r>
        <w:t xml:space="preserve"> </w:t>
      </w:r>
      <w:r>
        <w:t xml:space="preserve">none (negative case)</w:t>
      </w:r>
    </w:p>
    <w:p>
      <w:pPr>
        <w:pStyle w:val="Compact"/>
        <w:numPr>
          <w:ilvl w:val="0"/>
          <w:numId w:val="1026"/>
        </w:numPr>
      </w:pPr>
      <w:r>
        <w:rPr>
          <w:b/>
          <w:bCs/>
        </w:rPr>
        <w:t xml:space="preserve">Gold semantic type:</w:t>
      </w:r>
      <w:r>
        <w:t xml:space="preserve"> </w:t>
      </w:r>
      <w:r>
        <w:t xml:space="preserve">n/a</w:t>
      </w:r>
    </w:p>
    <w:p>
      <w:pPr>
        <w:pStyle w:val="Compact"/>
        <w:numPr>
          <w:ilvl w:val="0"/>
          <w:numId w:val="1026"/>
        </w:numPr>
      </w:pPr>
      <w:r>
        <w:rPr>
          <w:b/>
          <w:bCs/>
        </w:rPr>
        <w:t xml:space="preserve">Supporting evidence:</w:t>
      </w:r>
      <w:r>
        <w:t xml:space="preserve"> </w:t>
      </w:r>
      <w:r>
        <w:t xml:space="preserve">HARD NEGATIVE: a systematic review of prediction models; its units are studies, not patients.</w:t>
      </w:r>
    </w:p>
    <w:bookmarkEnd w:id="234"/>
    <w:bookmarkStart w:id="235" w:name="d.2.15-10.1038s41577-020-0311-8"/>
    <w:p>
      <w:pPr>
        <w:pStyle w:val="Heading3"/>
      </w:pPr>
      <w:r>
        <w:t xml:space="preserve">D.2.15</w:t>
      </w:r>
      <w:r>
        <w:t xml:space="preserve"> </w:t>
      </w:r>
      <w:r>
        <w:rPr>
          <w:rStyle w:val="VerbatimChar"/>
        </w:rPr>
        <w:t xml:space="preserve">10.1038/s41577-020-0311-8</w:t>
      </w:r>
    </w:p>
    <w:p>
      <w:pPr>
        <w:pStyle w:val="Compact"/>
        <w:numPr>
          <w:ilvl w:val="0"/>
          <w:numId w:val="1027"/>
        </w:numPr>
      </w:pPr>
      <w:r>
        <w:rPr>
          <w:b/>
          <w:bCs/>
        </w:rPr>
        <w:t xml:space="preserve">Design:</w:t>
      </w:r>
      <w:r>
        <w:t xml:space="preserve"> </w:t>
      </w:r>
      <w:r>
        <w:t xml:space="preserve">review</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Narrative review of COVID-19 immunology; no study population.</w:t>
      </w:r>
    </w:p>
    <w:bookmarkEnd w:id="235"/>
    <w:bookmarkStart w:id="236" w:name="d.2.16-10.1164rccm.201908-1581st"/>
    <w:p>
      <w:pPr>
        <w:pStyle w:val="Heading3"/>
      </w:pPr>
      <w:r>
        <w:t xml:space="preserve">D.2.16</w:t>
      </w:r>
      <w:r>
        <w:t xml:space="preserve"> </w:t>
      </w:r>
      <w:r>
        <w:rPr>
          <w:rStyle w:val="VerbatimChar"/>
        </w:rPr>
        <w:t xml:space="preserve">10.1164/rccm.201908-1581st</w:t>
      </w:r>
    </w:p>
    <w:p>
      <w:pPr>
        <w:pStyle w:val="Compact"/>
        <w:numPr>
          <w:ilvl w:val="0"/>
          <w:numId w:val="1028"/>
        </w:numPr>
      </w:pPr>
      <w:r>
        <w:rPr>
          <w:b/>
          <w:bCs/>
        </w:rPr>
        <w:t xml:space="preserve">Design:</w:t>
      </w:r>
      <w:r>
        <w:t xml:space="preserve"> </w:t>
      </w:r>
      <w:r>
        <w:t xml:space="preserve">guideline</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Clinical practice guideline; no study population.</w:t>
      </w:r>
    </w:p>
    <w:bookmarkEnd w:id="236"/>
    <w:bookmarkStart w:id="237" w:name="d.2.17-10.1056nejmra2026131"/>
    <w:p>
      <w:pPr>
        <w:pStyle w:val="Heading3"/>
      </w:pPr>
      <w:r>
        <w:t xml:space="preserve">D.2.17</w:t>
      </w:r>
      <w:r>
        <w:t xml:space="preserve"> </w:t>
      </w:r>
      <w:r>
        <w:rPr>
          <w:rStyle w:val="VerbatimChar"/>
        </w:rPr>
        <w:t xml:space="preserve">10.1056/nejmra2026131</w:t>
      </w:r>
    </w:p>
    <w:p>
      <w:pPr>
        <w:pStyle w:val="Compact"/>
        <w:numPr>
          <w:ilvl w:val="0"/>
          <w:numId w:val="1029"/>
        </w:numPr>
      </w:pPr>
      <w:r>
        <w:rPr>
          <w:b/>
          <w:bCs/>
        </w:rPr>
        <w:t xml:space="preserve">Design:</w:t>
      </w:r>
      <w:r>
        <w:t xml:space="preserve"> </w:t>
      </w:r>
      <w:r>
        <w:t xml:space="preserve">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Review article on cytokine storm; no study population.</w:t>
      </w:r>
    </w:p>
    <w:bookmarkEnd w:id="237"/>
    <w:bookmarkStart w:id="238" w:name="d.2.18-10.1038s41586-021-03819-2"/>
    <w:p>
      <w:pPr>
        <w:pStyle w:val="Heading3"/>
      </w:pPr>
      <w:r>
        <w:t xml:space="preserve">D.2.18</w:t>
      </w:r>
      <w:r>
        <w:t xml:space="preserve"> </w:t>
      </w:r>
      <w:r>
        <w:rPr>
          <w:rStyle w:val="VerbatimChar"/>
        </w:rPr>
        <w:t xml:space="preserve">10.1038/s41586-021-03819-2</w:t>
      </w:r>
    </w:p>
    <w:p>
      <w:pPr>
        <w:pStyle w:val="Compact"/>
        <w:numPr>
          <w:ilvl w:val="0"/>
          <w:numId w:val="1030"/>
        </w:numPr>
      </w:pPr>
      <w:r>
        <w:rPr>
          <w:b/>
          <w:bCs/>
        </w:rPr>
        <w:t xml:space="preserve">Design:</w:t>
      </w:r>
      <w:r>
        <w:t xml:space="preserve"> </w:t>
      </w:r>
      <w:r>
        <w:t xml:space="preserve">computational</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HARD NEGATIVE: protein-structure prediction; CASP14 target counts are not human subjects.</w:t>
      </w:r>
    </w:p>
    <w:bookmarkEnd w:id="238"/>
    <w:bookmarkStart w:id="239" w:name="d.2.19-10.1038nature14539"/>
    <w:p>
      <w:pPr>
        <w:pStyle w:val="Heading3"/>
      </w:pPr>
      <w:r>
        <w:t xml:space="preserve">D.2.19</w:t>
      </w:r>
      <w:r>
        <w:t xml:space="preserve"> </w:t>
      </w:r>
      <w:r>
        <w:rPr>
          <w:rStyle w:val="VerbatimChar"/>
        </w:rPr>
        <w:t xml:space="preserve">10.1038/nature14539</w:t>
      </w:r>
    </w:p>
    <w:p>
      <w:pPr>
        <w:pStyle w:val="Compact"/>
        <w:numPr>
          <w:ilvl w:val="0"/>
          <w:numId w:val="1031"/>
        </w:numPr>
      </w:pPr>
      <w:r>
        <w:rPr>
          <w:b/>
          <w:bCs/>
        </w:rPr>
        <w:t xml:space="preserve">Design:</w:t>
      </w:r>
      <w:r>
        <w:t xml:space="preserve"> </w:t>
      </w:r>
      <w:r>
        <w:t xml:space="preserve">review</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Review of deep learning; no study population.</w:t>
      </w:r>
    </w:p>
    <w:bookmarkEnd w:id="239"/>
    <w:bookmarkStart w:id="240" w:name="d.2.20-10.11453065386"/>
    <w:p>
      <w:pPr>
        <w:pStyle w:val="Heading3"/>
      </w:pPr>
      <w:r>
        <w:t xml:space="preserve">D.2.20</w:t>
      </w:r>
      <w:r>
        <w:t xml:space="preserve"> </w:t>
      </w:r>
      <w:r>
        <w:rPr>
          <w:rStyle w:val="VerbatimChar"/>
        </w:rPr>
        <w:t xml:space="preserve">10.1145/3065386</w:t>
      </w:r>
    </w:p>
    <w:p>
      <w:pPr>
        <w:pStyle w:val="Compact"/>
        <w:numPr>
          <w:ilvl w:val="0"/>
          <w:numId w:val="1032"/>
        </w:numPr>
      </w:pPr>
      <w:r>
        <w:rPr>
          <w:b/>
          <w:bCs/>
        </w:rPr>
        <w:t xml:space="preserve">Design:</w:t>
      </w:r>
      <w:r>
        <w:t xml:space="preserve"> </w:t>
      </w:r>
      <w:r>
        <w:t xml:space="preserve">computational</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HARD NEGATIVE: '1.2 million high-resolution images' is a dataset size, not a human study population.</w:t>
      </w:r>
    </w:p>
    <w:bookmarkEnd w:id="240"/>
    <w:bookmarkEnd w:id="241"/>
    <w:bookmarkEnd w:id="242"/>
    <w:bookmarkStart w:id="247"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43"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43"/>
    <w:bookmarkStart w:id="244"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44"/>
    <w:bookmarkStart w:id="245"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45"/>
    <w:bookmarkStart w:id="246"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p>
      <w:r>
        <w:pict>
          <v:rect style="width:0;height:1.5pt" o:hralign="center" o:hrstd="t" o:hr="t"/>
        </w:pict>
      </w:r>
    </w:p>
    <w:bookmarkEnd w:id="246"/>
    <w:bookmarkEnd w:id="247"/>
    <w:bookmarkStart w:id="253" w:name="X9f57483ed5b2f82fbb3fee302540650aea30fed"/>
    <w:p>
      <w:pPr>
        <w:pStyle w:val="Heading1"/>
      </w:pPr>
      <w:r>
        <w:t xml:space="preserve">Appendix F: Test Suite and Verification Inventory</w:t>
      </w:r>
    </w:p>
    <w:bookmarkStart w:id="248" w:name="f.1-composition"/>
    <w:p>
      <w:pPr>
        <w:pStyle w:val="Heading2"/>
      </w:pPr>
      <w:r>
        <w:t xml:space="preserve">F.1 Composition</w:t>
      </w:r>
    </w:p>
    <w:p>
      <w:pPr>
        <w:pStyle w:val="FirstParagraph"/>
      </w:pPr>
      <w:r>
        <w:t xml:space="preserve">102 automated tests across eight files. All external HTTP is intercepted at</w:t>
      </w:r>
      <w:r>
        <w:t xml:space="preserve"> </w:t>
      </w:r>
      <w:r>
        <w:t xml:space="preserve">transport level by</w:t>
      </w:r>
      <w:r>
        <w:t xml:space="preserve"> </w:t>
      </w:r>
      <w:r>
        <w:rPr>
          <w:rStyle w:val="VerbatimChar"/>
        </w:rPr>
        <w:t xml:space="preserve">respx</w:t>
      </w:r>
      <w:r>
        <w:t xml:space="preserve">, so the suite requires no network access and no API</w:t>
      </w:r>
      <w:r>
        <w:t xml:space="preserve"> </w:t>
      </w:r>
      <w:r>
        <w:t xml:space="preserve">credentials, and completes in roughly 20–35 seconds.</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63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test_ranking.py</w:t>
            </w:r>
          </w:p>
        </w:tc>
        <w:tc>
          <w:tcPr/>
          <w:p>
            <w:pPr>
              <w:pStyle w:val="Compact"/>
              <w:jc w:val="right"/>
            </w:pPr>
            <w:r>
              <w:t xml:space="preserve">5</w:t>
            </w:r>
          </w:p>
        </w:tc>
        <w:tc>
          <w:tcPr/>
          <w:p>
            <w:pPr>
              <w:pStyle w:val="Compact"/>
            </w:pPr>
            <w:r>
              <w:t xml:space="preserve">Foundational scoring and path ranking</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102</w:t>
            </w:r>
          </w:p>
        </w:tc>
        <w:tc>
          <w:tcPr/>
          <w:p>
            <w:pPr>
              <w:pStyle w:val="Compact"/>
            </w:pPr>
          </w:p>
        </w:tc>
      </w:tr>
    </w:tbl>
    <w:bookmarkEnd w:id="248"/>
    <w:bookmarkStart w:id="249"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49"/>
    <w:bookmarkStart w:id="250"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50"/>
    <w:bookmarkStart w:id="251"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51"/>
    <w:bookmarkStart w:id="252"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p>
      <w:r>
        <w:pict>
          <v:rect style="width:0;height:1.5pt" o:hralign="center" o:hrstd="t" o:hr="t"/>
        </w:pict>
      </w:r>
    </w:p>
    <w:bookmarkEnd w:id="252"/>
    <w:bookmarkEnd w:id="253"/>
    <w:bookmarkStart w:id="264"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54"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54"/>
    <w:bookmarkStart w:id="255"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55"/>
    <w:bookmarkStart w:id="256"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56"/>
    <w:bookmarkStart w:id="257"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57"/>
    <w:bookmarkStart w:id="258"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58"/>
    <w:bookmarkStart w:id="259"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59"/>
    <w:bookmarkStart w:id="260"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60"/>
    <w:bookmarkStart w:id="261"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61"/>
    <w:bookmarkStart w:id="262"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262"/>
    <w:bookmarkStart w:id="263"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p>
      <w:r>
        <w:pict>
          <v:rect style="width:0;height:1.5pt" o:hralign="center" o:hrstd="t" o:hr="t"/>
        </w:pict>
      </w:r>
    </w:p>
    <w:bookmarkEnd w:id="263"/>
    <w:bookmarkEnd w:id="264"/>
    <w:bookmarkStart w:id="294"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29 entries resolve as of the verification run.</w:t>
      </w:r>
    </w:p>
    <w:p>
      <w:pPr>
        <w:pStyle w:val="BodyText"/>
      </w:pPr>
      <w:r>
        <w:rPr>
          <w:b/>
          <w:bCs/>
        </w:rPr>
        <w:t xml:space="preserve">[1]</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265">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[2]</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266">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[3]</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267">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[4]</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268">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[5]</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269">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[6]</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270">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[7]</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271">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[8]</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272">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[9]</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273">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[10]</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274">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[11]</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275">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[12]</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276">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[13]</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277">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[14]</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278">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[15]</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279">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[16]</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280">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[17]</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281">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[18]</w:t>
      </w:r>
      <w:r>
        <w:t xml:space="preserve"> </w:t>
      </w:r>
      <w:r>
        <w:rPr>
          <w:rStyle w:val="VerbatimChar"/>
        </w:rPr>
        <w:t xml:space="preserve">marshall2020trialstreamer</w:t>
      </w:r>
      <w:r>
        <w:t xml:space="preserve">. Iain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282">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[19]</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283">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[20]</w:t>
      </w:r>
      <w:r>
        <w:t xml:space="preserve"> </w:t>
      </w:r>
      <w:r>
        <w:rPr>
          <w:rStyle w:val="VerbatimChar"/>
        </w:rPr>
        <w:t xml:space="preserve">moher2009prisma</w:t>
      </w:r>
      <w:r>
        <w:t xml:space="preserve">. David Moher, Alessandro Liberati, Jennifer Tetzlaff, Douglas G. Altman, and The PRISMA Group. "Preferred Reporting Items for Systematic Reviews and Meta-Analyses: The PRISMA Statement."</w:t>
      </w:r>
      <w:r>
        <w:t xml:space="preserve"> </w:t>
      </w:r>
      <w:r>
        <w:rPr>
          <w:i/>
          <w:iCs/>
        </w:rPr>
        <w:t xml:space="preserve">PLoS Medicine</w:t>
      </w:r>
      <w:r>
        <w:t xml:space="preserve">, 2009. DOI:</w:t>
      </w:r>
      <w:r>
        <w:t xml:space="preserve"> </w:t>
      </w:r>
      <w:hyperlink r:id="rId284">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[21]</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285">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[22]</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286">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[23]</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287">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[24]</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288">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[25]</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289">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[26]</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290">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[27]</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291">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[28]</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292">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[29]</w:t>
      </w:r>
      <w:r>
        <w:t xml:space="preserve"> </w:t>
      </w:r>
      <w:r>
        <w:rPr>
          <w:rStyle w:val="VerbatimChar"/>
        </w:rPr>
        <w:t xml:space="preserve">wang2020mag</w:t>
      </w:r>
      <w:r>
        <w:t xml:space="preserve">. Kuansan Wang, Z.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293">
        <w:r>
          <w:rPr>
            <w:rStyle w:val="Hyperlink"/>
          </w:rPr>
          <w:t xml:space="preserve">10.1162/qss_a_00021</w:t>
        </w:r>
      </w:hyperlink>
      <w:r>
        <w:t xml:space="preserve"> </w:t>
      </w:r>
      <w:r>
        <w:rPr>
          <w:i/>
          <w:iCs/>
        </w:rPr>
        <w:t xml:space="preserve">Cited for:</w:t>
      </w:r>
      <w:r>
        <w:t xml:space="preserve"> </w:t>
      </w:r>
      <w:r>
        <w:t xml:space="preserve">Microsoft Academic Graph</w:t>
      </w:r>
    </w:p>
    <w:bookmarkEnd w:id="2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8" Target="https://doi.org/10.1002/asi.20317" TargetMode="External" /><Relationship Type="http://schemas.openxmlformats.org/officeDocument/2006/relationships/hyperlink" Id="rId280" Target="https://doi.org/10.1007/978-3-642-04346-8_62" TargetMode="External" /><Relationship Type="http://schemas.openxmlformats.org/officeDocument/2006/relationships/hyperlink" Id="rId290" Target="https://doi.org/10.1007/s100510050359" TargetMode="External" /><Relationship Type="http://schemas.openxmlformats.org/officeDocument/2006/relationships/hyperlink" Id="rId266" Target="https://doi.org/10.1016/S0169-7552(98)00110-X" TargetMode="External" /><Relationship Type="http://schemas.openxmlformats.org/officeDocument/2006/relationships/hyperlink" Id="rId269" Target="https://doi.org/10.1016/j.joi.2006.06.001" TargetMode="External" /><Relationship Type="http://schemas.openxmlformats.org/officeDocument/2006/relationships/hyperlink" Id="rId292" Target="https://doi.org/10.1016/j.joi.2016.02.007" TargetMode="External" /><Relationship Type="http://schemas.openxmlformats.org/officeDocument/2006/relationships/hyperlink" Id="rId267" Target="https://doi.org/10.1038/nrn3475" TargetMode="External" /><Relationship Type="http://schemas.openxmlformats.org/officeDocument/2006/relationships/hyperlink" Id="rId275" Target="https://doi.org/10.1073/pnas.0507655102" TargetMode="External" /><Relationship Type="http://schemas.openxmlformats.org/officeDocument/2006/relationships/hyperlink" Id="rId289" Target="https://doi.org/10.1073/pnas.0806977105" TargetMode="External" /><Relationship Type="http://schemas.openxmlformats.org/officeDocument/2006/relationships/hyperlink" Id="rId286" Target="https://doi.org/10.1073/pnas.98.2.404" TargetMode="External" /><Relationship Type="http://schemas.openxmlformats.org/officeDocument/2006/relationships/hyperlink" Id="rId291" Target="https://doi.org/10.1088/1742-5468/2007/06/P06010" TargetMode="External" /><Relationship Type="http://schemas.openxmlformats.org/officeDocument/2006/relationships/hyperlink" Id="rId278" Target="https://doi.org/10.1093/bioinformatics/btg1023" TargetMode="External" /><Relationship Type="http://schemas.openxmlformats.org/officeDocument/2006/relationships/hyperlink" Id="rId279" Target="https://doi.org/10.1093/bioinformatics/btz682" TargetMode="External" /><Relationship Type="http://schemas.openxmlformats.org/officeDocument/2006/relationships/hyperlink" Id="rId282" Target="https://doi.org/10.1093/jamia/ocaa163" TargetMode="External" /><Relationship Type="http://schemas.openxmlformats.org/officeDocument/2006/relationships/hyperlink" Id="rId281" Target="https://doi.org/10.1093/jamia/ocv044" TargetMode="External" /><Relationship Type="http://schemas.openxmlformats.org/officeDocument/2006/relationships/hyperlink" Id="rId270" Target="https://doi.org/10.1093/nar/gku1061" TargetMode="External" /><Relationship Type="http://schemas.openxmlformats.org/officeDocument/2006/relationships/hyperlink" Id="rId271" Target="https://doi.org/10.1126/science.122.3159.108" TargetMode="External" /><Relationship Type="http://schemas.openxmlformats.org/officeDocument/2006/relationships/hyperlink" Id="rId274" Target="https://doi.org/10.1136/bmj.d5928" TargetMode="External" /><Relationship Type="http://schemas.openxmlformats.org/officeDocument/2006/relationships/hyperlink" Id="rId293" Target="https://doi.org/10.1162/qss_a_00021" TargetMode="External" /><Relationship Type="http://schemas.openxmlformats.org/officeDocument/2006/relationships/hyperlink" Id="rId273" Target="https://doi.org/10.1162/qss_a_00022" TargetMode="External" /><Relationship Type="http://schemas.openxmlformats.org/officeDocument/2006/relationships/hyperlink" Id="rId276" Target="https://doi.org/10.1371/journal.pmed.0020124" TargetMode="External" /><Relationship Type="http://schemas.openxmlformats.org/officeDocument/2006/relationships/hyperlink" Id="rId284" Target="https://doi.org/10.1371/journal.pmed.1000097" TargetMode="External" /><Relationship Type="http://schemas.openxmlformats.org/officeDocument/2006/relationships/hyperlink" Id="rId265" Target="https://doi.org/10.18653/v1/D19-1371" TargetMode="External" /><Relationship Type="http://schemas.openxmlformats.org/officeDocument/2006/relationships/hyperlink" Id="rId287" Target="https://doi.org/10.18653/v1/P18-1019" TargetMode="External" /><Relationship Type="http://schemas.openxmlformats.org/officeDocument/2006/relationships/hyperlink" Id="rId277" Target="https://doi.org/10.18653/v1/W18-2308" TargetMode="External" /><Relationship Type="http://schemas.openxmlformats.org/officeDocument/2006/relationships/hyperlink" Id="rId285" Target="https://doi.org/10.18653/v1/W19-5034" TargetMode="External" /><Relationship Type="http://schemas.openxmlformats.org/officeDocument/2006/relationships/hyperlink" Id="rId272" Target="https://doi.org/10.25080/TCWV9851" TargetMode="External" /><Relationship Type="http://schemas.openxmlformats.org/officeDocument/2006/relationships/hyperlink" Id="rId288" Target="https://doi.org/10.48550/arXiv.2205.01833" TargetMode="External" /><Relationship Type="http://schemas.openxmlformats.org/officeDocument/2006/relationships/hyperlink" Id="rId283"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268" Target="https://doi.org/10.1002/asi.20317" TargetMode="External" /><Relationship Type="http://schemas.openxmlformats.org/officeDocument/2006/relationships/hyperlink" Id="rId280" Target="https://doi.org/10.1007/978-3-642-04346-8_62" TargetMode="External" /><Relationship Type="http://schemas.openxmlformats.org/officeDocument/2006/relationships/hyperlink" Id="rId290" Target="https://doi.org/10.1007/s100510050359" TargetMode="External" /><Relationship Type="http://schemas.openxmlformats.org/officeDocument/2006/relationships/hyperlink" Id="rId266" Target="https://doi.org/10.1016/S0169-7552(98)00110-X" TargetMode="External" /><Relationship Type="http://schemas.openxmlformats.org/officeDocument/2006/relationships/hyperlink" Id="rId269" Target="https://doi.org/10.1016/j.joi.2006.06.001" TargetMode="External" /><Relationship Type="http://schemas.openxmlformats.org/officeDocument/2006/relationships/hyperlink" Id="rId292" Target="https://doi.org/10.1016/j.joi.2016.02.007" TargetMode="External" /><Relationship Type="http://schemas.openxmlformats.org/officeDocument/2006/relationships/hyperlink" Id="rId267" Target="https://doi.org/10.1038/nrn3475" TargetMode="External" /><Relationship Type="http://schemas.openxmlformats.org/officeDocument/2006/relationships/hyperlink" Id="rId275" Target="https://doi.org/10.1073/pnas.0507655102" TargetMode="External" /><Relationship Type="http://schemas.openxmlformats.org/officeDocument/2006/relationships/hyperlink" Id="rId289" Target="https://doi.org/10.1073/pnas.0806977105" TargetMode="External" /><Relationship Type="http://schemas.openxmlformats.org/officeDocument/2006/relationships/hyperlink" Id="rId286" Target="https://doi.org/10.1073/pnas.98.2.404" TargetMode="External" /><Relationship Type="http://schemas.openxmlformats.org/officeDocument/2006/relationships/hyperlink" Id="rId291" Target="https://doi.org/10.1088/1742-5468/2007/06/P06010" TargetMode="External" /><Relationship Type="http://schemas.openxmlformats.org/officeDocument/2006/relationships/hyperlink" Id="rId278" Target="https://doi.org/10.1093/bioinformatics/btg1023" TargetMode="External" /><Relationship Type="http://schemas.openxmlformats.org/officeDocument/2006/relationships/hyperlink" Id="rId279" Target="https://doi.org/10.1093/bioinformatics/btz682" TargetMode="External" /><Relationship Type="http://schemas.openxmlformats.org/officeDocument/2006/relationships/hyperlink" Id="rId282" Target="https://doi.org/10.1093/jamia/ocaa163" TargetMode="External" /><Relationship Type="http://schemas.openxmlformats.org/officeDocument/2006/relationships/hyperlink" Id="rId281" Target="https://doi.org/10.1093/jamia/ocv044" TargetMode="External" /><Relationship Type="http://schemas.openxmlformats.org/officeDocument/2006/relationships/hyperlink" Id="rId270" Target="https://doi.org/10.1093/nar/gku1061" TargetMode="External" /><Relationship Type="http://schemas.openxmlformats.org/officeDocument/2006/relationships/hyperlink" Id="rId271" Target="https://doi.org/10.1126/science.122.3159.108" TargetMode="External" /><Relationship Type="http://schemas.openxmlformats.org/officeDocument/2006/relationships/hyperlink" Id="rId274" Target="https://doi.org/10.1136/bmj.d5928" TargetMode="External" /><Relationship Type="http://schemas.openxmlformats.org/officeDocument/2006/relationships/hyperlink" Id="rId293" Target="https://doi.org/10.1162/qss_a_00021" TargetMode="External" /><Relationship Type="http://schemas.openxmlformats.org/officeDocument/2006/relationships/hyperlink" Id="rId273" Target="https://doi.org/10.1162/qss_a_00022" TargetMode="External" /><Relationship Type="http://schemas.openxmlformats.org/officeDocument/2006/relationships/hyperlink" Id="rId276" Target="https://doi.org/10.1371/journal.pmed.0020124" TargetMode="External" /><Relationship Type="http://schemas.openxmlformats.org/officeDocument/2006/relationships/hyperlink" Id="rId284" Target="https://doi.org/10.1371/journal.pmed.1000097" TargetMode="External" /><Relationship Type="http://schemas.openxmlformats.org/officeDocument/2006/relationships/hyperlink" Id="rId265" Target="https://doi.org/10.18653/v1/D19-1371" TargetMode="External" /><Relationship Type="http://schemas.openxmlformats.org/officeDocument/2006/relationships/hyperlink" Id="rId287" Target="https://doi.org/10.18653/v1/P18-1019" TargetMode="External" /><Relationship Type="http://schemas.openxmlformats.org/officeDocument/2006/relationships/hyperlink" Id="rId277" Target="https://doi.org/10.18653/v1/W18-2308" TargetMode="External" /><Relationship Type="http://schemas.openxmlformats.org/officeDocument/2006/relationships/hyperlink" Id="rId285" Target="https://doi.org/10.18653/v1/W19-5034" TargetMode="External" /><Relationship Type="http://schemas.openxmlformats.org/officeDocument/2006/relationships/hyperlink" Id="rId272" Target="https://doi.org/10.25080/TCWV9851" TargetMode="External" /><Relationship Type="http://schemas.openxmlformats.org/officeDocument/2006/relationships/hyperlink" Id="rId288" Target="https://doi.org/10.48550/arXiv.2205.01833" TargetMode="External" /><Relationship Type="http://schemas.openxmlformats.org/officeDocument/2006/relationships/hyperlink" Id="rId283"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2026-09-18T21:44:36Z</dcterms:created>
  <dcterms:modified xsi:type="dcterms:W3CDTF">2026-09-18T21:44:36Z</dcterms:modified>
</cp:coreProperties>
</file>

<file path=docProps/custom.xml><?xml version="1.0" encoding="utf-8"?>
<Properties xmlns="http://schemas.openxmlformats.org/officeDocument/2006/custom-properties" xmlns:vt="http://schemas.openxmlformats.org/officeDocument/2006/docPropsVTypes"/>
</file>