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269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269 automated tests across 25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Thirteen of the 25 files are behaviour tests: they assert that the system does</w:t>
      </w:r>
      <w:r>
        <w:t xml:space="preserve"> </w:t>
      </w:r>
      <w:r>
        <w:t xml:space="preserve">something. The other twelve are guards, and they assert something different —</w:t>
      </w:r>
      <w:r>
        <w:t xml:space="preserve"> </w:t>
      </w:r>
      <w:r>
        <w:t xml:space="preserve">that a check still works.</w:t>
      </w:r>
      <w:r>
        <w:t xml:space="preserve"> </w:t>
      </w:r>
      <w:r>
        <w:rPr>
          <w:rStyle w:val="VerbatimChar"/>
        </w:rPr>
        <w:t xml:space="preserve">guards/LEDGER.md</w:t>
      </w:r>
      <w:r>
        <w:t xml:space="preserve"> </w:t>
      </w:r>
      <w:r>
        <w:t xml:space="preserve">records all 95 guard families</w:t>
      </w:r>
      <w:r>
        <w:t xml:space="preserve"> </w:t>
      </w:r>
      <w:r>
        <w:t xml:space="preserve">catalogued from another project, what happened to each one here, and why 33 were</w:t>
      </w:r>
      <w:r>
        <w:t xml:space="preserve"> </w:t>
      </w:r>
      <w:r>
        <w:t xml:space="preserve">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test_the_config_refuses_every_problem_at_once.py</w:t>
            </w:r>
          </w:p>
        </w:tc>
        <w:tc>
          <w:tcPr/>
          <w:p>
            <w:pPr>
              <w:pStyle w:val="Compact"/>
              <w:jc w:val="right"/>
            </w:pPr>
            <w:r>
              <w:t xml:space="preserve">11</w:t>
            </w:r>
          </w:p>
        </w:tc>
        <w:tc>
          <w:tcPr/>
          <w:p>
            <w:pPr>
              <w:pStyle w:val="Compact"/>
            </w:pPr>
            <w:r>
              <w:t xml:space="preserve">Configuration faults gathered in one pass; production refuses a wildcard CORS origin, an empty origin list, a Neo4j profile with a placeholder password, and a key that is set but too short. The deployed values must start, and the open API is reported</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 tables against the Pydantic models, both directions, and every route against the documents that name it</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 a real contact address in a template; the</w:t>
            </w:r>
            <w:r>
              <w:t xml:space="preserve"> </w:t>
            </w:r>
            <w:r>
              <w:rPr>
                <w:rStyle w:val="VerbatimChar"/>
              </w:rPr>
              <w:t xml:space="preserve">.env.example</w:t>
            </w:r>
            <w:r>
              <w:t xml:space="preserve">/</w:t>
            </w:r>
            <w:r>
              <w:rPr>
                <w:rStyle w:val="VerbatimChar"/>
              </w:rPr>
              <w:t xml:space="preserve">Settings</w:t>
            </w:r>
            <w:r>
              <w:t xml:space="preserve"> </w:t>
            </w:r>
            <w:r>
              <w:t xml:space="preserve">contract</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 every guard on disk classified, the generated table current</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5</w:t>
            </w:r>
          </w:p>
        </w:tc>
        <w:tc>
          <w:tcPr/>
          <w:p>
            <w:pPr>
              <w:pStyle w:val="Compact"/>
            </w:pPr>
            <w:r>
              <w:t xml:space="preserve">No path filter on a workflow that runs checks, one always-running job, full-history checkout, and each deploy exemption still needed</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 in a step no</w:t>
            </w:r>
            <w:r>
              <w:t xml:space="preserve"> </w:t>
            </w:r>
            <w:r>
              <w:rPr>
                <w:rStyle w:val="VerbatimChar"/>
              </w:rPr>
              <w:t xml:space="preserve">if:</w:t>
            </w:r>
            <w:r>
              <w:t xml:space="preserve"> </w:t>
            </w:r>
            <w:r>
              <w:t xml:space="preserve">can disable</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 in both directions; a fall keeps its reason; a dry run writes nothing</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a workflow, a test or the documentation</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 and can say so apart from a network failure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 and one redeclared as a dataclass field</w:t>
            </w:r>
          </w:p>
        </w:tc>
      </w:tr>
      <w:tr>
        <w:tc>
          <w:tcPr/>
          <w:p>
            <w:pPr>
              <w:pStyle w:val="Compact"/>
            </w:pPr>
            <w:r>
              <w:rPr>
                <w:rStyle w:val="VerbatimChar"/>
              </w:rPr>
              <w:t xml:space="preserve">test_a_guard_that_cannot_look_does_not_report_clean.py</w:t>
            </w:r>
          </w:p>
        </w:tc>
        <w:tc>
          <w:tcPr/>
          <w:p>
            <w:pPr>
              <w:pStyle w:val="Compact"/>
              <w:jc w:val="right"/>
            </w:pPr>
            <w:r>
              <w:t xml:space="preserve">3</w:t>
            </w:r>
          </w:p>
        </w:tc>
        <w:tc>
          <w:tcPr/>
          <w:p>
            <w:pPr>
              <w:pStyle w:val="Compact"/>
            </w:pPr>
            <w:r>
              <w:t xml:space="preserve">That the PDF checks in the drift guard are reading, rather than skipping on a missing PyMuPDF</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 which turn a pattern into one that cannot fire</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269</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2026-09-26T19:54:28Z</dcterms:created>
  <dcterms:modified xsi:type="dcterms:W3CDTF">2026-09-26T19:54:28Z</dcterms:modified>
</cp:coreProperties>
</file>

<file path=docProps/custom.xml><?xml version="1.0" encoding="utf-8"?>
<Properties xmlns="http://schemas.openxmlformats.org/officeDocument/2006/custom-properties" xmlns:vt="http://schemas.openxmlformats.org/officeDocument/2006/docPropsVTypes"/>
</file>