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Bdr>
          <w:bottom w:val="single" w:color="2E75B6" w:sz="6" w:space="4"/>
        </w:pBdr>
        <w:spacing w:after="120" w:before="360"/>
      </w:pPr>
      <w:r>
        <w:rPr>
          <w:rFonts w:ascii="Arial" w:cs="Arial" w:eastAsia="Arial" w:hAnsi="Arial"/>
          <w:b/>
          <w:bCs/>
          <w:color w:val="1F4E79"/>
          <w:sz w:val="32"/>
          <w:szCs w:val="32"/>
        </w:rPr>
        <w:t xml:space="preserve">CiteGraph-NLP: A Confidence-Aware System for Citation Lineage Analysis and Study-Scale Evidence Extraction</w:t>
      </w:r>
    </w:p>
    <w:p>
      <w:pPr>
        <w:spacing w:after="60" w:before="60" w:line="276"/>
      </w:pPr>
      <w:r>
        <w:rPr>
          <w:rFonts w:ascii="Arial" w:cs="Arial" w:eastAsia="Arial" w:hAnsi="Arial"/>
          <w:color w:val="1B2631"/>
          <w:sz w:val="22"/>
          <w:szCs w:val="22"/>
        </w:rPr>
        <w:t xml:space="preserve">A thesis submitted in partial fulfilment of the requirements for the degree of Bachelor of Science in Artificial Intelligence</w:t>
      </w:r>
    </w:p>
    <w:p>
      <w:pPr>
        <w:spacing w:after="60" w:before="60" w:line="276"/>
      </w:pPr>
      <w:r>
        <w:rPr>
          <w:rFonts w:ascii="Arial" w:cs="Arial" w:eastAsia="Arial" w:hAnsi="Arial"/>
          <w:color w:val="1B2631"/>
          <w:sz w:val="22"/>
          <w:szCs w:val="22"/>
        </w:rPr>
        <w:t xml:space="preserve">Department of Computer Science National University of Technology</w:t>
      </w:r>
    </w:p>
    <w:p>
      <w:pPr>
        <w:pBdr>
          <w:bottom w:val="single" w:color="CCCCCC" w:sz="4" w:space="1"/>
        </w:pBdr>
        <w:spacing w:after="160" w:before="16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Authors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Registration Number</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 Ahad Imran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F23607034</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Syed Zain-ul-Abidin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F23607031</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Anas Zafar</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F22607024</w:t>
            </w:r>
          </w:p>
        </w:tc>
      </w:tr>
    </w:tbl>
    <w:p>
      <w:pPr>
        <w:spacing w:before="120"/>
      </w:pPr>
      <w:r>
        <w:t xml:space="preserve"/>
      </w:r>
    </w:p>
    <w:p>
      <w:pPr>
        <w:spacing w:after="60" w:before="60" w:line="276"/>
      </w:pPr>
      <w:r>
        <w:rPr>
          <w:rFonts w:ascii="Arial" w:cs="Arial" w:eastAsia="Arial" w:hAnsi="Arial"/>
          <w:color w:val="1B2631"/>
          <w:sz w:val="22"/>
          <w:szCs w:val="22"/>
        </w:rPr>
        <w:t xml:space="preserve">Supervisor: Dr. Amna Ikram</w:t>
      </w:r>
    </w:p>
    <w:p>
      <w:pPr>
        <w:spacing w:after="60" w:before="60" w:line="276"/>
      </w:pPr>
      <w:r>
        <w:rPr>
          <w:rFonts w:ascii="Arial" w:cs="Arial" w:eastAsia="Arial" w:hAnsi="Arial"/>
          <w:color w:val="1B2631"/>
          <w:sz w:val="22"/>
          <w:szCs w:val="22"/>
        </w:rPr>
        <w:t xml:space="preserve">Session: 2023–2027</w:t>
      </w:r>
    </w:p>
    <w:p>
      <w:pPr>
        <w:pBdr>
          <w:bottom w:val="single" w:color="CCCCCC" w:sz="4" w:space="1"/>
        </w:pBdr>
        <w:spacing w:after="160" w:before="16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Declaration</w:t>
      </w:r>
    </w:p>
    <w:p>
      <w:pPr>
        <w:spacing w:after="60" w:before="60" w:line="276"/>
      </w:pPr>
      <w:r>
        <w:rPr>
          <w:rFonts w:ascii="Arial" w:cs="Arial" w:eastAsia="Arial" w:hAnsi="Arial"/>
          <w:color w:val="1B2631"/>
          <w:sz w:val="22"/>
          <w:szCs w:val="22"/>
        </w:rPr>
        <w:t xml:space="preserve">We declare that this thesis and the system it describes are our own work, except where explicitly attributed. All external data is retrieved from public scholarly APIs under their published terms of use. No paywalled full text was scraped or redistributed. Every quantitative result reported in Chapter 6 was produced by a script committed to the project repository and can be recomputed by a reader with network access; the commands are given in Appendix C.</w:t>
      </w:r>
    </w:p>
    <w:p>
      <w:pPr>
        <w:spacing w:after="60" w:before="60" w:line="276"/>
      </w:pPr>
      <w:r>
        <w:rPr>
          <w:rFonts w:ascii="Arial" w:cs="Arial" w:eastAsia="Arial" w:hAnsi="Arial"/>
          <w:color w:val="1B2631"/>
          <w:sz w:val="22"/>
          <w:szCs w:val="22"/>
        </w:rPr>
        <w:t xml:space="preserve">Provenance of the work. An initial prototype of this system was developed in the sixth semester. The project has been carried forward into the Final Year Project in the seventh semester, and the team composition has changed since the prototype phase. The work presented here substantially extends that prototype. The evaluation reported in Chapter 6 was designed and executed during the FYP phase, and the corrections catalogued in Chapter 5, including the traversal, weighting and extraction defects, were identified and resolved in this phase. Where a result or component predates the FYP, this is stated at the point of use rather than presented as new work.</w:t>
      </w:r>
    </w:p>
    <w:p>
      <w:pPr>
        <w:spacing w:after="60" w:before="60" w:line="276"/>
      </w:pPr>
      <w:r>
        <w:rPr>
          <w:rFonts w:ascii="Arial" w:cs="Arial" w:eastAsia="Arial" w:hAnsi="Arial"/>
          <w:color w:val="1B2631"/>
          <w:sz w:val="22"/>
          <w:szCs w:val="22"/>
        </w:rPr>
        <w:t xml:space="preserve">Where the delivered system falls short of the original project proposal, this thesis states the shortfall explicitly rather than describing the intended behaviour as though it had been achieved. Section 6.8 and Chapter 7 catalogue these divergences.</w:t>
      </w:r>
    </w:p>
    <w:p>
      <w:pPr>
        <w:pBdr>
          <w:bottom w:val="single" w:color="CCCCCC" w:sz="4" w:space="1"/>
        </w:pBdr>
        <w:spacing w:after="160" w:before="16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Abstract</w:t>
      </w:r>
    </w:p>
    <w:p>
      <w:pPr>
        <w:spacing w:after="60" w:before="60" w:line="276"/>
      </w:pPr>
      <w:r>
        <w:rPr>
          <w:rFonts w:ascii="Arial" w:cs="Arial" w:eastAsia="Arial" w:hAnsi="Arial"/>
          <w:color w:val="1B2631"/>
          <w:sz w:val="22"/>
          <w:szCs w:val="22"/>
        </w:rPr>
        <w:t xml:space="preserve">Determining which earlier papers a body of research actually rests on is a manual and error-prone task. A reader who wants to trace a claim back to its origin must follow reference lists by hand, and the citation counts that bibliometric tools report treat every citation as equally informative. A citation to a 43,548-participant randomised trial and a citation to a three-patient case report are indistinguishable in a raw citation graph.</w:t>
      </w:r>
    </w:p>
    <w:p>
      <w:pPr>
        <w:spacing w:after="60" w:before="60" w:line="276"/>
      </w:pPr>
      <w:r>
        <w:rPr>
          <w:rFonts w:ascii="Arial" w:cs="Arial" w:eastAsia="Arial" w:hAnsi="Arial"/>
          <w:color w:val="1B2631"/>
          <w:sz w:val="22"/>
          <w:szCs w:val="22"/>
        </w:rPr>
        <w:t xml:space="preserve">This thesis presents CiteGraph-NLP, a system that constructs a citation graph from a single seed paper and weights its edges by the scale of the evidence each cited paper reports, rather than by citation count alone. The system resolves a user-supplied identifier (DOI, PMID, PMCID, title or URL) against three public scholarly APIs, performs a depth-limited breadth-first traversal over references and citing works, extracts reported study population sizes from abstracts using a pattern-based information-extraction pipeline, weights each citation edge by a normalised population score scaled by extraction confidence, and ranks probable foundational papers using PageRank over the weighted graph.</w:t>
      </w:r>
    </w:p>
    <w:p>
      <w:pPr>
        <w:spacing w:after="60" w:before="60" w:line="276"/>
      </w:pPr>
      <w:r>
        <w:rPr>
          <w:rFonts w:ascii="Arial" w:cs="Arial" w:eastAsia="Arial" w:hAnsi="Arial"/>
          <w:color w:val="1B2631"/>
          <w:sz w:val="22"/>
          <w:szCs w:val="22"/>
        </w:rPr>
        <w:t xml:space="preserve">The contribution is not a new ranking algorithm. PageRank on citation networks is long established [chen2007gems; walker2007citerank]. It is a working, measured pipeline that makes the uncertainty of automated evidence extraction visible to the user: every extracted population carries a confidence score and a status of resolved, ambiguous or missing, and edges whose evidence could not be established fall back to a uniform structural weight rather than silently disappearing.</w:t>
      </w:r>
    </w:p>
    <w:p>
      <w:pPr>
        <w:spacing w:after="60" w:before="60" w:line="276"/>
      </w:pPr>
      <w:r>
        <w:rPr>
          <w:rFonts w:ascii="Arial" w:cs="Arial" w:eastAsia="Arial" w:hAnsi="Arial"/>
          <w:color w:val="1B2631"/>
          <w:sz w:val="22"/>
          <w:szCs w:val="22"/>
        </w:rPr>
        <w:t xml:space="preserve">The system was evaluated against a 20-paper gold standard annotated from abstract text, spanning randomised trials, cohort studies, case series, epidemiological and modelling designs, together with deliberately hard negatives whose abstracts contain large numbers that are not study populations. Population detection achieved precision 0.917, recall 1.000 and F1 0.957; exact sample-size values were correct for 10 of 11 positive cases; semantic type classification was correct for 6 of 10. Metadata resolution succeeded for 20 of 20 papers. Three live citation traversals produced graphs with zero dangling edges and zero isolated nodes.</w:t>
      </w:r>
    </w:p>
    <w:p>
      <w:pPr>
        <w:spacing w:after="60" w:before="60" w:line="276"/>
      </w:pPr>
      <w:r>
        <w:rPr>
          <w:rFonts w:ascii="Arial" w:cs="Arial" w:eastAsia="Arial" w:hAnsi="Arial"/>
          <w:color w:val="1B2631"/>
          <w:sz w:val="22"/>
          <w:szCs w:val="22"/>
        </w:rPr>
        <w:t xml:space="preserve">The evaluation also exposes the system's limits honestly. Semantic type accuracy of 60% shows that distinguishing randomised from enrolled from analysed is not solved by surface patterns. A systematic review produced a confident false positive. Twenty-eight per cent of papers in a typical graph carry no abstract in the primary metadata source at all, and a second provider had to be queried to recover them. Full-text parsing, specified in the project proposal, was not implemented; the system reads abstracts only.</w:t>
      </w:r>
    </w:p>
    <w:p>
      <w:pPr>
        <w:spacing w:after="60" w:before="60" w:line="276"/>
      </w:pPr>
      <w:r>
        <w:rPr>
          <w:rFonts w:ascii="Arial" w:cs="Arial" w:eastAsia="Arial" w:hAnsi="Arial"/>
          <w:color w:val="1B2631"/>
          <w:sz w:val="22"/>
          <w:szCs w:val="22"/>
        </w:rPr>
        <w:t xml:space="preserve">Keywords: citation analysis, knowledge graphs, information extraction, biomedical NLP, PageRank, evidence synthesis, scholarly APIs</w:t>
      </w:r>
    </w:p>
    <w:p>
      <w:pPr>
        <w:pBdr>
          <w:bottom w:val="single" w:color="CCCCCC" w:sz="4" w:space="1"/>
        </w:pBdr>
        <w:spacing w:after="160" w:before="16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Acknowledgements</w:t>
      </w:r>
    </w:p>
    <w:p>
      <w:pPr>
        <w:spacing w:after="60" w:before="60" w:line="276"/>
      </w:pPr>
      <w:r>
        <w:rPr>
          <w:rFonts w:ascii="Arial" w:cs="Arial" w:eastAsia="Arial" w:hAnsi="Arial"/>
          <w:color w:val="1B2631"/>
          <w:sz w:val="22"/>
          <w:szCs w:val="22"/>
        </w:rPr>
        <w:t xml:space="preserve">[to be completed by the authors]</w:t>
      </w:r>
    </w:p>
    <w:p>
      <w:pPr>
        <w:pBdr>
          <w:bottom w:val="single" w:color="CCCCCC" w:sz="4" w:space="1"/>
        </w:pBdr>
        <w:spacing w:after="160" w:before="16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Table of Contents</w:t>
      </w:r>
    </w:p>
    <w:p>
      <w:pPr>
        <w:pStyle w:val="ListParagraph"/>
        <w:numPr>
          <w:ilvl w:val="0"/>
          <w:numId w:val="2"/>
        </w:numPr>
        <w:spacing w:after="20" w:before="20" w:line="276"/>
      </w:pPr>
      <w:r>
        <w:rPr>
          <w:rFonts w:ascii="Arial" w:cs="Arial" w:eastAsia="Arial" w:hAnsi="Arial"/>
          <w:color w:val="1B2631"/>
          <w:sz w:val="22"/>
          <w:szCs w:val="22"/>
        </w:rPr>
        <w:t xml:space="preserve">Introduction, motivation, problem statement, objectives, scope, contributions 2. Literature Review, citation analysis, scholarly infrastructure, biomedical information extraction, evidence appraisal 3. Requirements and Methodology, requirements capture, development process, evaluation strategy 4. System Design and Architecture, layered architecture, data model, algorithms 5. Implementation, pipeline stages, provider integration, engineering defects and their resolution 6. Evaluation and Results, gold standard, measured results, performance, failure analysis 7. Discussion, interpretation, threats to validity, divergence from the proposal 8. Conclusion and Future Work</w:t>
      </w:r>
    </w:p>
    <w:p>
      <w:pPr>
        <w:spacing w:after="60" w:before="60" w:line="276"/>
      </w:pPr>
      <w:r>
        <w:rPr>
          <w:rFonts w:ascii="Arial" w:cs="Arial" w:eastAsia="Arial" w:hAnsi="Arial"/>
          <w:color w:val="1B2631"/>
          <w:sz w:val="22"/>
          <w:szCs w:val="22"/>
        </w:rPr>
        <w:t xml:space="preserve">Appendices</w:t>
      </w:r>
    </w:p>
    <w:p>
      <w:pPr>
        <w:pStyle w:val="ListParagraph"/>
        <w:numPr>
          <w:ilvl w:val="0"/>
          <w:numId w:val="3"/>
        </w:numPr>
        <w:spacing w:after="20" w:before="20" w:line="276"/>
      </w:pPr>
      <w:r>
        <w:rPr>
          <w:rFonts w:ascii="Arial" w:cs="Arial" w:eastAsia="Arial" w:hAnsi="Arial"/>
          <w:color w:val="1B2631"/>
          <w:sz w:val="22"/>
          <w:szCs w:val="22"/>
        </w:rPr>
        <w:t xml:space="preserve">A. API Reference</w:t>
      </w:r>
    </w:p>
    <w:p>
      <w:pPr>
        <w:pStyle w:val="ListParagraph"/>
        <w:numPr>
          <w:ilvl w:val="0"/>
          <w:numId w:val="3"/>
        </w:numPr>
        <w:spacing w:after="20" w:before="20" w:line="276"/>
      </w:pPr>
      <w:r>
        <w:rPr>
          <w:rFonts w:ascii="Arial" w:cs="Arial" w:eastAsia="Arial" w:hAnsi="Arial"/>
          <w:color w:val="1B2631"/>
          <w:sz w:val="22"/>
          <w:szCs w:val="22"/>
        </w:rPr>
        <w:t xml:space="preserve">B. Configuration Reference</w:t>
      </w:r>
    </w:p>
    <w:p>
      <w:pPr>
        <w:pStyle w:val="ListParagraph"/>
        <w:numPr>
          <w:ilvl w:val="0"/>
          <w:numId w:val="3"/>
        </w:numPr>
        <w:spacing w:after="20" w:before="20" w:line="276"/>
      </w:pPr>
      <w:r>
        <w:rPr>
          <w:rFonts w:ascii="Arial" w:cs="Arial" w:eastAsia="Arial" w:hAnsi="Arial"/>
          <w:color w:val="1B2631"/>
          <w:sz w:val="22"/>
          <w:szCs w:val="22"/>
        </w:rPr>
        <w:t xml:space="preserve">C. Reproducing the Results</w:t>
      </w:r>
    </w:p>
    <w:p>
      <w:pPr>
        <w:pStyle w:val="ListParagraph"/>
        <w:numPr>
          <w:ilvl w:val="0"/>
          <w:numId w:val="3"/>
        </w:numPr>
        <w:spacing w:after="20" w:before="20" w:line="276"/>
      </w:pPr>
      <w:r>
        <w:rPr>
          <w:rFonts w:ascii="Arial" w:cs="Arial" w:eastAsia="Arial" w:hAnsi="Arial"/>
          <w:color w:val="1B2631"/>
          <w:sz w:val="22"/>
          <w:szCs w:val="22"/>
        </w:rPr>
        <w:t xml:space="preserve">D. Gold Standard Annotations</w:t>
      </w:r>
    </w:p>
    <w:p>
      <w:pPr>
        <w:pStyle w:val="ListParagraph"/>
        <w:numPr>
          <w:ilvl w:val="0"/>
          <w:numId w:val="3"/>
        </w:numPr>
        <w:spacing w:after="20" w:before="20" w:line="276"/>
      </w:pPr>
      <w:r>
        <w:rPr>
          <w:rFonts w:ascii="Arial" w:cs="Arial" w:eastAsia="Arial" w:hAnsi="Arial"/>
          <w:color w:val="1B2631"/>
          <w:sz w:val="22"/>
          <w:szCs w:val="22"/>
        </w:rPr>
        <w:t xml:space="preserve">E. Verified Reference Metadata</w:t>
      </w:r>
    </w:p>
    <w:p>
      <w:pPr>
        <w:pBdr>
          <w:bottom w:val="single" w:color="CCCCCC" w:sz="4" w:space="1"/>
        </w:pBdr>
        <w:spacing w:after="160" w:before="16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Term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Expansion</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API</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Application Programming Interface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BFS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Breadth-First Search</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CORS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Cross-Origin Resource Sharing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DOI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Digital Object Identifier</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FYP</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Final Year Project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Information Extraction</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JATS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Journal Article Tag Suite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N_eff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Effective study population size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NLP</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Natural Language Processing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PICO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Population, Intervention, Comparison, Outcome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PMCID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PubMed Central Identifier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PMID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PubMed Identifier</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RCT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Randomised Controlled Trial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SPA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Single-Page Application</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SSRF</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Server-Side Request Forgery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Transport Layer Security</w:t>
            </w:r>
          </w:p>
        </w:tc>
      </w:tr>
    </w:tbl>
    <w:p>
      <w:pPr>
        <w:spacing w:before="120"/>
      </w:pPr>
      <w:r>
        <w:t xml:space="preserve"/>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1: Introduction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1.1 Background and Motivation</w:t>
      </w:r>
    </w:p>
    <w:p>
      <w:pPr>
        <w:spacing w:after="60" w:before="60" w:line="276"/>
      </w:pPr>
      <w:r>
        <w:rPr>
          <w:rFonts w:ascii="Arial" w:cs="Arial" w:eastAsia="Arial" w:hAnsi="Arial"/>
          <w:color w:val="1B2631"/>
          <w:sz w:val="22"/>
          <w:szCs w:val="22"/>
        </w:rPr>
        <w:t xml:space="preserve">Scientific knowledge is cumulative, and the citation is the mechanism by which that accumulation is recorded. When a paper cites another, it declares a dependency: some part of the new work rests on the earlier one. Garfield's proposal for a citation index [garfield1955] rested on exactly this observation, that the network of citations is itself a navigable structure, and that following it backwards should let a reader reach the origin of an idea.</w:t>
      </w:r>
    </w:p>
    <w:p>
      <w:pPr>
        <w:spacing w:after="60" w:before="60" w:line="276"/>
      </w:pPr>
      <w:r>
        <w:rPr>
          <w:rFonts w:ascii="Arial" w:cs="Arial" w:eastAsia="Arial" w:hAnsi="Arial"/>
          <w:color w:val="1B2631"/>
          <w:sz w:val="22"/>
          <w:szCs w:val="22"/>
        </w:rPr>
        <w:t xml:space="preserve">Seventy years later, the network exists and is machine-readable. OpenAlex [priem2022openalex], Crossref [hendricks2020crossref] and Europe PMC [europepmc2015] between them expose hundreds of millions of works and their reference lists through open APIs. What has not kept pace is the interpretation of that network. The dominant summary statistics, citation count, h-index [hirsch2005hindex], journal impact factor, all treat citations as interchangeable units. A citation is a citation.</w:t>
      </w:r>
    </w:p>
    <w:p>
      <w:pPr>
        <w:spacing w:after="60" w:before="60" w:line="276"/>
      </w:pPr>
      <w:r>
        <w:rPr>
          <w:rFonts w:ascii="Arial" w:cs="Arial" w:eastAsia="Arial" w:hAnsi="Arial"/>
          <w:color w:val="1B2631"/>
          <w:sz w:val="22"/>
          <w:szCs w:val="22"/>
        </w:rPr>
        <w:t xml:space="preserve">That assumption is convenient and, for many purposes, wrong. Consider two papers in the same reference list of a clinical review:</w:t>
      </w:r>
    </w:p>
    <w:p>
      <w:pPr>
        <w:pStyle w:val="ListParagraph"/>
        <w:numPr>
          <w:ilvl w:val="0"/>
          <w:numId w:val="3"/>
        </w:numPr>
        <w:spacing w:after="20" w:before="20" w:line="276"/>
      </w:pPr>
      <w:r>
        <w:rPr>
          <w:rFonts w:ascii="Arial" w:cs="Arial" w:eastAsia="Arial" w:hAnsi="Arial"/>
          <w:color w:val="1B2631"/>
          <w:sz w:val="22"/>
          <w:szCs w:val="22"/>
        </w:rPr>
        <w:t xml:space="preserve">A multinational randomised controlled trial that randomised 43,548</w:t>
      </w:r>
    </w:p>
    <w:p>
      <w:pPr>
        <w:spacing w:after="60" w:before="60" w:line="276"/>
      </w:pPr>
      <w:r>
        <w:rPr>
          <w:rFonts w:ascii="Arial" w:cs="Arial" w:eastAsia="Arial" w:hAnsi="Arial"/>
          <w:color w:val="1B2631"/>
          <w:sz w:val="22"/>
          <w:szCs w:val="22"/>
        </w:rPr>
        <w:t xml:space="preserve">participants across two arms.</w:t>
      </w:r>
    </w:p>
    <w:p>
      <w:pPr>
        <w:pStyle w:val="ListParagraph"/>
        <w:numPr>
          <w:ilvl w:val="0"/>
          <w:numId w:val="3"/>
        </w:numPr>
        <w:spacing w:after="20" w:before="20" w:line="276"/>
      </w:pPr>
      <w:r>
        <w:rPr>
          <w:rFonts w:ascii="Arial" w:cs="Arial" w:eastAsia="Arial" w:hAnsi="Arial"/>
          <w:color w:val="1B2631"/>
          <w:sz w:val="22"/>
          <w:szCs w:val="22"/>
        </w:rPr>
        <w:t xml:space="preserve">A case report describing three patients.</w:t>
      </w:r>
    </w:p>
    <w:p>
      <w:pPr>
        <w:spacing w:after="60" w:before="60" w:line="276"/>
      </w:pPr>
      <w:r>
        <w:rPr>
          <w:rFonts w:ascii="Arial" w:cs="Arial" w:eastAsia="Arial" w:hAnsi="Arial"/>
          <w:color w:val="1B2631"/>
          <w:sz w:val="22"/>
          <w:szCs w:val="22"/>
        </w:rPr>
        <w:t xml:space="preserve">Both contribute exactly one to the cited paper's citation count. Both appear as a single unweighted edge in a citation graph. Yet a reader tracing the evidential basis of a clinical claim would not treat them as equivalent for a moment. The scale of the study population is one of the most basic signals a reader uses when judging how much weight a piece of evidence can bear, and it is entirely absent from the citation graph as normally constructed.</w:t>
      </w:r>
    </w:p>
    <w:p>
      <w:pPr>
        <w:spacing w:after="60" w:before="60" w:line="276"/>
      </w:pPr>
      <w:r>
        <w:rPr>
          <w:rFonts w:ascii="Arial" w:cs="Arial" w:eastAsia="Arial" w:hAnsi="Arial"/>
          <w:color w:val="1B2631"/>
          <w:sz w:val="22"/>
          <w:szCs w:val="22"/>
        </w:rPr>
        <w:t xml:space="preserve">The methodological literature reinforces the point. Ioannidis argues that a large fraction of published findings are false, with small study size among the principal contributors [ioannidis2005why]. Button and colleagues demonstrate that low statistical power both reduces the chance of detecting a true effect and reduces the probability that a detected effect is real [button2013power]. If sample size materially changes how much a result should be trusted, then a graph that discards sample size is discarding something a reader needs.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1.2 Problem Statement</w:t>
      </w:r>
    </w:p>
    <w:p>
      <w:pPr>
        <w:spacing w:after="60" w:before="60" w:line="276"/>
      </w:pPr>
      <w:r>
        <w:rPr>
          <w:rFonts w:ascii="Arial" w:cs="Arial" w:eastAsia="Arial" w:hAnsi="Arial"/>
          <w:color w:val="1B2631"/>
          <w:sz w:val="22"/>
          <w:szCs w:val="22"/>
        </w:rPr>
        <w:t xml:space="preserve">A researcher who wants to know which earlier papers a body of work actually rests on currently has three unsatisfactory options.</w:t>
      </w:r>
    </w:p>
    <w:p>
      <w:pPr>
        <w:spacing w:after="60" w:before="60" w:line="276"/>
      </w:pPr>
      <w:r>
        <w:rPr>
          <w:rFonts w:ascii="Arial" w:cs="Arial" w:eastAsia="Arial" w:hAnsi="Arial"/>
          <w:color w:val="1B2631"/>
          <w:sz w:val="22"/>
          <w:szCs w:val="22"/>
        </w:rPr>
        <w:t xml:space="preserve">Manual reference following. Open the seed paper, read its reference list, open the interesting references, repeat. This is accurate but does not scale. A paper with forty references, each with forty references, presents 1,600 second-level works.</w:t>
      </w:r>
    </w:p>
    <w:p>
      <w:pPr>
        <w:spacing w:after="60" w:before="60" w:line="276"/>
      </w:pPr>
      <w:r>
        <w:rPr>
          <w:rFonts w:ascii="Arial" w:cs="Arial" w:eastAsia="Arial" w:hAnsi="Arial"/>
          <w:color w:val="1B2631"/>
          <w:sz w:val="22"/>
          <w:szCs w:val="22"/>
        </w:rPr>
        <w:t xml:space="preserve">Citation-count ranking. Use a bibliometric tool to sort candidates by citation count. This scales, but rewards popularity rather than evidential weight, and is well known to be confounded by field, age and venue [waltman2016review]. Highly cited papers are disproportionately recent reviews rather than foundational primary studies.</w:t>
      </w:r>
    </w:p>
    <w:p>
      <w:pPr>
        <w:spacing w:after="60" w:before="60" w:line="276"/>
      </w:pPr>
      <w:r>
        <w:rPr>
          <w:rFonts w:ascii="Arial" w:cs="Arial" w:eastAsia="Arial" w:hAnsi="Arial"/>
          <w:color w:val="1B2631"/>
          <w:sz w:val="22"/>
          <w:szCs w:val="22"/>
        </w:rPr>
        <w:t xml:space="preserve">Systematic review methodology. Follow PRISMA [moher2009prisma] and appraise each study with an instrument such as the Cochrane risk-of-bias tool [higgins2011cochrane]. This is the rigorous answer and is the correct one when the stakes justify it, but a full systematic review is a months-long undertaking by a trained team.</w:t>
      </w:r>
    </w:p>
    <w:p>
      <w:pPr>
        <w:spacing w:after="60" w:before="60" w:line="276"/>
      </w:pPr>
      <w:r>
        <w:rPr>
          <w:rFonts w:ascii="Arial" w:cs="Arial" w:eastAsia="Arial" w:hAnsi="Arial"/>
          <w:color w:val="1B2631"/>
          <w:sz w:val="22"/>
          <w:szCs w:val="22"/>
        </w:rPr>
        <w:t xml:space="preserve">The gap this project addresses sits between the second and third options: an automated traversal that is aware, however imperfectly, of how much evidence each cited paper actually reports, and that is honest about the imperfection.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1.3 Research Questions</w:t>
      </w:r>
    </w:p>
    <w:p>
      <w:pPr>
        <w:spacing w:after="60" w:before="60" w:line="276"/>
      </w:pPr>
      <w:r>
        <w:rPr>
          <w:rFonts w:ascii="Arial" w:cs="Arial" w:eastAsia="Arial" w:hAnsi="Arial"/>
          <w:color w:val="1B2631"/>
          <w:sz w:val="22"/>
          <w:szCs w:val="22"/>
        </w:rPr>
        <w:t xml:space="preserve">This project is organised around four questions.</w:t>
      </w:r>
    </w:p>
    <w:p>
      <w:pPr>
        <w:spacing w:after="60" w:before="60" w:line="276"/>
      </w:pPr>
      <w:r>
        <w:rPr>
          <w:rFonts w:ascii="Arial" w:cs="Arial" w:eastAsia="Arial" w:hAnsi="Arial"/>
          <w:color w:val="1B2631"/>
          <w:sz w:val="22"/>
          <w:szCs w:val="22"/>
        </w:rPr>
        <w:t xml:space="preserve">RQ1. Can study population sizes be extracted from abstracts reliably enough to be used as an edge-weighting signal, using pattern-based information extraction rather than a trained model?</w:t>
      </w:r>
    </w:p>
    <w:p>
      <w:pPr>
        <w:spacing w:after="60" w:before="60" w:line="276"/>
      </w:pPr>
      <w:r>
        <w:rPr>
          <w:rFonts w:ascii="Arial" w:cs="Arial" w:eastAsia="Arial" w:hAnsi="Arial"/>
          <w:color w:val="1B2631"/>
          <w:sz w:val="22"/>
          <w:szCs w:val="22"/>
        </w:rPr>
        <w:t xml:space="preserve">RQ2. What proportion of papers reachable in a citation traversal actually carry the text needed for such extraction, and does that proportion constrain the approach more than extraction accuracy does?</w:t>
      </w:r>
    </w:p>
    <w:p>
      <w:pPr>
        <w:spacing w:after="60" w:before="60" w:line="276"/>
      </w:pPr>
      <w:r>
        <w:rPr>
          <w:rFonts w:ascii="Arial" w:cs="Arial" w:eastAsia="Arial" w:hAnsi="Arial"/>
          <w:color w:val="1B2631"/>
          <w:sz w:val="22"/>
          <w:szCs w:val="22"/>
        </w:rPr>
        <w:t xml:space="preserve">RQ3. Does weighting citation edges by extracted population evidence produce a foundational-paper ranking that a domain reader would find defensible?</w:t>
      </w:r>
    </w:p>
    <w:p>
      <w:pPr>
        <w:spacing w:after="60" w:before="60" w:line="276"/>
      </w:pPr>
      <w:r>
        <w:rPr>
          <w:rFonts w:ascii="Arial" w:cs="Arial" w:eastAsia="Arial" w:hAnsi="Arial"/>
          <w:color w:val="1B2631"/>
          <w:sz w:val="22"/>
          <w:szCs w:val="22"/>
        </w:rPr>
        <w:t xml:space="preserve">RQ4. Can a citation traversal over public scholarly APIs be made fast enough for interactive use, and what dominates its cost?</w:t>
      </w:r>
    </w:p>
    <w:p>
      <w:pPr>
        <w:spacing w:after="60" w:before="60" w:line="276"/>
      </w:pPr>
      <w:r>
        <w:rPr>
          <w:rFonts w:ascii="Arial" w:cs="Arial" w:eastAsia="Arial" w:hAnsi="Arial"/>
          <w:color w:val="1B2631"/>
          <w:sz w:val="22"/>
          <w:szCs w:val="22"/>
        </w:rPr>
        <w:t xml:space="preserve">Chapter 6 answers RQ1, RQ2 and RQ4 with measured results. RQ3 is answered qualitatively and with explicit acknowledgement that no formal relevance judgement study was conducted; Section 7.3 treats this as a threat to validity.</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1.4 Aim and Objectives</w:t>
      </w:r>
    </w:p>
    <w:p>
      <w:pPr>
        <w:spacing w:after="60" w:before="60" w:line="276"/>
      </w:pPr>
      <w:r>
        <w:rPr>
          <w:rFonts w:ascii="Arial" w:cs="Arial" w:eastAsia="Arial" w:hAnsi="Arial"/>
          <w:color w:val="1B2631"/>
          <w:sz w:val="22"/>
          <w:szCs w:val="22"/>
        </w:rPr>
        <w:t xml:space="preserve">Aim. To design, implement and evaluate a system that constructs a citation graph from a single seed paper, weights its edges by extracted study-scale evidence, and surfaces the uncertainty of that extraction to the user.</w:t>
      </w:r>
    </w:p>
    <w:p>
      <w:pPr>
        <w:spacing w:after="60" w:before="60" w:line="276"/>
      </w:pPr>
      <w:r>
        <w:rPr>
          <w:rFonts w:ascii="Arial" w:cs="Arial" w:eastAsia="Arial" w:hAnsi="Arial"/>
          <w:color w:val="1B2631"/>
          <w:sz w:val="22"/>
          <w:szCs w:val="22"/>
        </w:rPr>
        <w:t xml:space="preserve">Objectives.</w:t>
      </w:r>
    </w:p>
    <w:p>
      <w:pPr>
        <w:pStyle w:val="ListParagraph"/>
        <w:numPr>
          <w:ilvl w:val="0"/>
          <w:numId w:val="4"/>
        </w:numPr>
        <w:spacing w:after="20" w:before="20" w:line="276"/>
      </w:pPr>
      <w:r>
        <w:rPr>
          <w:rFonts w:ascii="Arial" w:cs="Arial" w:eastAsia="Arial" w:hAnsi="Arial"/>
          <w:color w:val="1B2631"/>
          <w:sz w:val="22"/>
          <w:szCs w:val="22"/>
        </w:rPr>
        <w:t xml:space="preserve">Normalise heterogeneous scholarly identifiers (DOI, PMID, PMCID, free-text</w:t>
      </w:r>
    </w:p>
    <w:p>
      <w:pPr>
        <w:spacing w:after="60" w:before="60" w:line="276"/>
      </w:pPr>
      <w:r>
        <w:rPr>
          <w:rFonts w:ascii="Arial" w:cs="Arial" w:eastAsia="Arial" w:hAnsi="Arial"/>
          <w:color w:val="1B2631"/>
          <w:sz w:val="22"/>
          <w:szCs w:val="22"/>
        </w:rPr>
        <w:t xml:space="preserve">title, article URL) to a single canonical form.</w:t>
      </w:r>
    </w:p>
    <w:p>
      <w:pPr>
        <w:pStyle w:val="ListParagraph"/>
        <w:numPr>
          <w:ilvl w:val="0"/>
          <w:numId w:val="5"/>
        </w:numPr>
        <w:spacing w:after="20" w:before="20" w:line="276"/>
      </w:pPr>
      <w:r>
        <w:rPr>
          <w:rFonts w:ascii="Arial" w:cs="Arial" w:eastAsia="Arial" w:hAnsi="Arial"/>
          <w:color w:val="1B2631"/>
          <w:sz w:val="22"/>
          <w:szCs w:val="22"/>
        </w:rPr>
        <w:t xml:space="preserve">Resolve metadata for a paper by querying multiple scholarly APIs in parallel</w:t>
      </w:r>
    </w:p>
    <w:p>
      <w:pPr>
        <w:spacing w:after="60" w:before="60" w:line="276"/>
      </w:pPr>
      <w:r>
        <w:rPr>
          <w:rFonts w:ascii="Arial" w:cs="Arial" w:eastAsia="Arial" w:hAnsi="Arial"/>
          <w:color w:val="1B2631"/>
          <w:sz w:val="22"/>
          <w:szCs w:val="22"/>
        </w:rPr>
        <w:t xml:space="preserve">and merging the results with field-level precedence.</w:t>
      </w:r>
    </w:p>
    <w:p>
      <w:pPr>
        <w:pStyle w:val="ListParagraph"/>
        <w:numPr>
          <w:ilvl w:val="0"/>
          <w:numId w:val="6"/>
        </w:numPr>
        <w:spacing w:after="20" w:before="20" w:line="276"/>
      </w:pPr>
      <w:r>
        <w:rPr>
          <w:rFonts w:ascii="Arial" w:cs="Arial" w:eastAsia="Arial" w:hAnsi="Arial"/>
          <w:color w:val="1B2631"/>
          <w:sz w:val="22"/>
          <w:szCs w:val="22"/>
        </w:rPr>
        <w:t xml:space="preserve">Traverse the citation network in both directions to a configurable depth</w:t>
      </w:r>
    </w:p>
    <w:p>
      <w:pPr>
        <w:spacing w:after="60" w:before="60" w:line="276"/>
      </w:pPr>
      <w:r>
        <w:rPr>
          <w:rFonts w:ascii="Arial" w:cs="Arial" w:eastAsia="Arial" w:hAnsi="Arial"/>
          <w:color w:val="1B2631"/>
          <w:sz w:val="22"/>
          <w:szCs w:val="22"/>
        </w:rPr>
        <w:t xml:space="preserve">under a bounded budget of papers.</w:t>
      </w:r>
    </w:p>
    <w:p>
      <w:pPr>
        <w:pStyle w:val="ListParagraph"/>
        <w:numPr>
          <w:ilvl w:val="0"/>
          <w:numId w:val="7"/>
        </w:numPr>
        <w:spacing w:after="20" w:before="20" w:line="276"/>
      </w:pPr>
      <w:r>
        <w:rPr>
          <w:rFonts w:ascii="Arial" w:cs="Arial" w:eastAsia="Arial" w:hAnsi="Arial"/>
          <w:color w:val="1B2631"/>
          <w:sz w:val="22"/>
          <w:szCs w:val="22"/>
        </w:rPr>
        <w:t xml:space="preserve">Extract candidate study population sizes from abstract text and classify</w:t>
      </w:r>
    </w:p>
    <w:p>
      <w:pPr>
        <w:spacing w:after="60" w:before="60" w:line="276"/>
      </w:pPr>
      <w:r>
        <w:rPr>
          <w:rFonts w:ascii="Arial" w:cs="Arial" w:eastAsia="Arial" w:hAnsi="Arial"/>
          <w:color w:val="1B2631"/>
          <w:sz w:val="22"/>
          <w:szCs w:val="22"/>
        </w:rPr>
        <w:t xml:space="preserve">them into semantic categories.</w:t>
      </w:r>
    </w:p>
    <w:p>
      <w:pPr>
        <w:pStyle w:val="ListParagraph"/>
        <w:numPr>
          <w:ilvl w:val="0"/>
          <w:numId w:val="8"/>
        </w:numPr>
        <w:spacing w:after="20" w:before="20" w:line="276"/>
      </w:pPr>
      <w:r>
        <w:rPr>
          <w:rFonts w:ascii="Arial" w:cs="Arial" w:eastAsia="Arial" w:hAnsi="Arial"/>
          <w:color w:val="1B2631"/>
          <w:sz w:val="22"/>
          <w:szCs w:val="22"/>
        </w:rPr>
        <w:t xml:space="preserve">Resolve competing candidates within a paper to a single effective population</w:t>
      </w:r>
    </w:p>
    <w:p>
      <w:pPr>
        <w:spacing w:after="60" w:before="60" w:line="276"/>
      </w:pPr>
      <w:r>
        <w:rPr>
          <w:rFonts w:ascii="Arial" w:cs="Arial" w:eastAsia="Arial" w:hAnsi="Arial"/>
          <w:color w:val="1B2631"/>
          <w:sz w:val="22"/>
          <w:szCs w:val="22"/>
        </w:rPr>
        <w:t xml:space="preserve">size with an explicit confidence and status.</w:t>
      </w:r>
    </w:p>
    <w:p>
      <w:pPr>
        <w:pStyle w:val="ListParagraph"/>
        <w:numPr>
          <w:ilvl w:val="0"/>
          <w:numId w:val="9"/>
        </w:numPr>
        <w:spacing w:after="20" w:before="20" w:line="276"/>
      </w:pPr>
      <w:r>
        <w:rPr>
          <w:rFonts w:ascii="Arial" w:cs="Arial" w:eastAsia="Arial" w:hAnsi="Arial"/>
          <w:color w:val="1B2631"/>
          <w:sz w:val="22"/>
          <w:szCs w:val="22"/>
        </w:rPr>
        <w:t xml:space="preserve">Weight citation edges using the normalised population score, scaled by</w:t>
      </w:r>
    </w:p>
    <w:p>
      <w:pPr>
        <w:spacing w:after="60" w:before="60" w:line="276"/>
      </w:pPr>
      <w:r>
        <w:rPr>
          <w:rFonts w:ascii="Arial" w:cs="Arial" w:eastAsia="Arial" w:hAnsi="Arial"/>
          <w:color w:val="1B2631"/>
          <w:sz w:val="22"/>
          <w:szCs w:val="22"/>
        </w:rPr>
        <w:t xml:space="preserve">extraction confidence, without discarding edges that lack evidence.</w:t>
      </w:r>
    </w:p>
    <w:p>
      <w:pPr>
        <w:pStyle w:val="ListParagraph"/>
        <w:numPr>
          <w:ilvl w:val="0"/>
          <w:numId w:val="10"/>
        </w:numPr>
        <w:spacing w:after="20" w:before="20" w:line="276"/>
      </w:pPr>
      <w:r>
        <w:rPr>
          <w:rFonts w:ascii="Arial" w:cs="Arial" w:eastAsia="Arial" w:hAnsi="Arial"/>
          <w:color w:val="1B2631"/>
          <w:sz w:val="22"/>
          <w:szCs w:val="22"/>
        </w:rPr>
        <w:t xml:space="preserve">Rank probable foundational papers using PageRank over the weighted graph.</w:t>
      </w:r>
    </w:p>
    <w:p>
      <w:pPr>
        <w:pStyle w:val="ListParagraph"/>
        <w:numPr>
          <w:ilvl w:val="0"/>
          <w:numId w:val="10"/>
        </w:numPr>
        <w:spacing w:after="20" w:before="20" w:line="276"/>
      </w:pPr>
      <w:r>
        <w:rPr>
          <w:rFonts w:ascii="Arial" w:cs="Arial" w:eastAsia="Arial" w:hAnsi="Arial"/>
          <w:color w:val="1B2631"/>
          <w:sz w:val="22"/>
          <w:szCs w:val="22"/>
        </w:rPr>
        <w:t xml:space="preserve">Expose the analysis through a REST API and a web dashboard, with exports in</w:t>
      </w:r>
    </w:p>
    <w:p>
      <w:pPr>
        <w:spacing w:after="60" w:before="60" w:line="276"/>
      </w:pPr>
      <w:r>
        <w:rPr>
          <w:rFonts w:ascii="Arial" w:cs="Arial" w:eastAsia="Arial" w:hAnsi="Arial"/>
          <w:color w:val="1B2631"/>
          <w:sz w:val="22"/>
          <w:szCs w:val="22"/>
        </w:rPr>
        <w:t xml:space="preserve">machine-readable and human-readable formats.</w:t>
      </w:r>
    </w:p>
    <w:p>
      <w:pPr>
        <w:pStyle w:val="ListParagraph"/>
        <w:numPr>
          <w:ilvl w:val="0"/>
          <w:numId w:val="11"/>
        </w:numPr>
        <w:spacing w:after="20" w:before="20" w:line="276"/>
      </w:pPr>
      <w:r>
        <w:rPr>
          <w:rFonts w:ascii="Arial" w:cs="Arial" w:eastAsia="Arial" w:hAnsi="Arial"/>
          <w:color w:val="1B2631"/>
          <w:sz w:val="22"/>
          <w:szCs w:val="22"/>
        </w:rPr>
        <w:t xml:space="preserve">Evaluate each module against the metrics specified in the project proposal.</w:t>
      </w:r>
    </w:p>
    <w:p>
      <w:pPr>
        <w:spacing w:after="60" w:before="60" w:line="276"/>
      </w:pPr>
      <w:r>
        <w:rPr>
          <w:rFonts w:ascii="Arial" w:cs="Arial" w:eastAsia="Arial" w:hAnsi="Arial"/>
          <w:color w:val="1B2631"/>
          <w:sz w:val="22"/>
          <w:szCs w:val="22"/>
        </w:rPr>
        <w:t xml:space="preserve">Objective 9 deserves particular note. The project proposal specified an evaluation plan covering four modules, but at the point where this thesis was begun, the evaluation directory in the repository was empty and no metric had been computed. Chapter 6 reports the results of implementing that plan.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1.5 Scope and Delimitations</w:t>
      </w:r>
    </w:p>
    <w:p>
      <w:pPr>
        <w:spacing w:after="60" w:before="60" w:line="276"/>
      </w:pPr>
      <w:r>
        <w:rPr>
          <w:rFonts w:ascii="Arial" w:cs="Arial" w:eastAsia="Arial" w:hAnsi="Arial"/>
          <w:color w:val="1B2631"/>
          <w:sz w:val="22"/>
          <w:szCs w:val="22"/>
        </w:rPr>
        <w:t xml:space="preserve">In scope. Biomedical and clinical literature, where reported sample sizes are conventional and abstracts are structured. Abstract-level extraction. Graphs bounded at 200 papers. Backward references to depth 3 and forward citations to depth 2. Three metadata providers: OpenAlex, Crossref, Europe PMC.</w:t>
      </w:r>
    </w:p>
    <w:p>
      <w:pPr>
        <w:spacing w:after="60" w:before="60" w:line="276"/>
      </w:pPr>
      <w:r>
        <w:rPr>
          <w:rFonts w:ascii="Arial" w:cs="Arial" w:eastAsia="Arial" w:hAnsi="Arial"/>
          <w:color w:val="1B2631"/>
          <w:sz w:val="22"/>
          <w:szCs w:val="22"/>
        </w:rPr>
        <w:t xml:space="preserve">Explicitly out of scope.</w:t>
      </w:r>
    </w:p>
    <w:p>
      <w:pPr>
        <w:pStyle w:val="ListParagraph"/>
        <w:numPr>
          <w:ilvl w:val="0"/>
          <w:numId w:val="3"/>
        </w:numPr>
        <w:spacing w:after="20" w:before="20" w:line="276"/>
      </w:pPr>
      <w:r>
        <w:rPr>
          <w:rFonts w:ascii="Arial" w:cs="Arial" w:eastAsia="Arial" w:hAnsi="Arial"/>
          <w:color w:val="1B2631"/>
          <w:sz w:val="22"/>
          <w:szCs w:val="22"/>
        </w:rPr>
        <w:t xml:space="preserve">Full-text parsing. The project proposal specified GROBID [lopez2009grobid]</w:t>
      </w:r>
    </w:p>
    <w:p>
      <w:pPr>
        <w:spacing w:after="60" w:before="60" w:line="276"/>
      </w:pPr>
      <w:r>
        <w:rPr>
          <w:rFonts w:ascii="Arial" w:cs="Arial" w:eastAsia="Arial" w:hAnsi="Arial"/>
          <w:color w:val="1B2631"/>
          <w:sz w:val="22"/>
          <w:szCs w:val="22"/>
        </w:rPr>
        <w:t xml:space="preserve">for PDF structure extraction. This was not implemented. The system reads abstracts only. Section 7.4 discusses the consequence.</w:t>
      </w:r>
    </w:p>
    <w:p>
      <w:pPr>
        <w:pStyle w:val="ListParagraph"/>
        <w:numPr>
          <w:ilvl w:val="0"/>
          <w:numId w:val="3"/>
        </w:numPr>
        <w:spacing w:after="20" w:before="20" w:line="276"/>
      </w:pPr>
      <w:r>
        <w:rPr>
          <w:rFonts w:ascii="Arial" w:cs="Arial" w:eastAsia="Arial" w:hAnsi="Arial"/>
          <w:color w:val="1B2631"/>
          <w:sz w:val="22"/>
          <w:szCs w:val="22"/>
        </w:rPr>
        <w:t xml:space="preserve">Exhaustive citation retrieval. A heavily cited paper may have tens of</w:t>
      </w:r>
    </w:p>
    <w:p>
      <w:pPr>
        <w:spacing w:after="60" w:before="60" w:line="276"/>
      </w:pPr>
      <w:r>
        <w:rPr>
          <w:rFonts w:ascii="Arial" w:cs="Arial" w:eastAsia="Arial" w:hAnsi="Arial"/>
          <w:color w:val="1B2631"/>
          <w:sz w:val="22"/>
          <w:szCs w:val="22"/>
        </w:rPr>
        <w:t xml:space="preserve">thousands of citing works; the system samples the most-cited subset within its paper budget. It does not claim completeness.</w:t>
      </w:r>
    </w:p>
    <w:p>
      <w:pPr>
        <w:pStyle w:val="ListParagraph"/>
        <w:numPr>
          <w:ilvl w:val="0"/>
          <w:numId w:val="3"/>
        </w:numPr>
        <w:spacing w:after="20" w:before="20" w:line="276"/>
      </w:pPr>
      <w:r>
        <w:rPr>
          <w:rFonts w:ascii="Arial" w:cs="Arial" w:eastAsia="Arial" w:hAnsi="Arial"/>
          <w:color w:val="1B2631"/>
          <w:sz w:val="22"/>
          <w:szCs w:val="22"/>
        </w:rPr>
        <w:t xml:space="preserve">Clinical interpretation. An extracted population size is a reading of the</w:t>
      </w:r>
    </w:p>
    <w:p>
      <w:pPr>
        <w:spacing w:after="60" w:before="60" w:line="276"/>
      </w:pPr>
      <w:r>
        <w:rPr>
          <w:rFonts w:ascii="Arial" w:cs="Arial" w:eastAsia="Arial" w:hAnsi="Arial"/>
          <w:color w:val="1B2631"/>
          <w:sz w:val="22"/>
          <w:szCs w:val="22"/>
        </w:rPr>
        <w:t xml:space="preserve">abstract, not a verified study characteristic. The system is an exploratory aid, not an evidence-appraisal instrument.</w:t>
      </w:r>
    </w:p>
    <w:p>
      <w:pPr>
        <w:pStyle w:val="ListParagraph"/>
        <w:numPr>
          <w:ilvl w:val="0"/>
          <w:numId w:val="3"/>
        </w:numPr>
        <w:spacing w:after="20" w:before="20" w:line="276"/>
      </w:pPr>
      <w:r>
        <w:rPr>
          <w:rFonts w:ascii="Arial" w:cs="Arial" w:eastAsia="Arial" w:hAnsi="Arial"/>
          <w:color w:val="1B2631"/>
          <w:sz w:val="22"/>
          <w:szCs w:val="22"/>
        </w:rPr>
        <w:t xml:space="preserve">Study-level deduplication. The proposal described a study-aware graph in</w:t>
      </w:r>
    </w:p>
    <w:p>
      <w:pPr>
        <w:spacing w:after="60" w:before="60" w:line="276"/>
      </w:pPr>
      <w:r>
        <w:rPr>
          <w:rFonts w:ascii="Arial" w:cs="Arial" w:eastAsia="Arial" w:hAnsi="Arial"/>
          <w:color w:val="1B2631"/>
          <w:sz w:val="22"/>
          <w:szCs w:val="22"/>
        </w:rPr>
        <w:t xml:space="preserve">which several papers reporting one trial collapse to a single study node. The implementation maps papers to studies one-to-one.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1.6 Contributions</w:t>
      </w:r>
    </w:p>
    <w:p>
      <w:pPr>
        <w:spacing w:after="60" w:before="60" w:line="276"/>
      </w:pPr>
      <w:r>
        <w:rPr>
          <w:rFonts w:ascii="Arial" w:cs="Arial" w:eastAsia="Arial" w:hAnsi="Arial"/>
          <w:color w:val="1B2631"/>
          <w:sz w:val="22"/>
          <w:szCs w:val="22"/>
        </w:rPr>
        <w:t xml:space="preserve">This thesis makes the following contributions.</w:t>
      </w:r>
    </w:p>
    <w:p>
      <w:pPr>
        <w:spacing w:after="60" w:before="60" w:line="276"/>
      </w:pPr>
      <w:r>
        <w:rPr>
          <w:rFonts w:ascii="Arial" w:cs="Arial" w:eastAsia="Arial" w:hAnsi="Arial"/>
          <w:color w:val="1B2631"/>
          <w:sz w:val="22"/>
          <w:szCs w:val="22"/>
        </w:rPr>
        <w:t xml:space="preserve">C1. A working, deployed pipeline. An end-to-end system from identifier to ranked graph, deployed and publicly reachable, with 102 automated tests.</w:t>
      </w:r>
    </w:p>
    <w:p>
      <w:pPr>
        <w:spacing w:after="60" w:before="60" w:line="276"/>
      </w:pPr>
      <w:r>
        <w:rPr>
          <w:rFonts w:ascii="Arial" w:cs="Arial" w:eastAsia="Arial" w:hAnsi="Arial"/>
          <w:color w:val="1B2631"/>
          <w:sz w:val="22"/>
          <w:szCs w:val="22"/>
        </w:rPr>
        <w:t xml:space="preserve">C2. An edge-weighting formulation that degrades honestly. Population evidence scales the evidential term of the edge weight while a structural term always applies, so an edge whose evidence could not be extracted retains a uniform non-zero weight instead of vanishing. Section 5.6 shows that the original formulation, multiplying the entire weight by confidence, silently collapsed every edge weight to exactly zero for any paper outside clinical phrasing, and that the defect was masked by a Python truthiness accident.</w:t>
      </w:r>
    </w:p>
    <w:p>
      <w:pPr>
        <w:spacing w:after="60" w:before="60" w:line="276"/>
      </w:pPr>
      <w:r>
        <w:rPr>
          <w:rFonts w:ascii="Arial" w:cs="Arial" w:eastAsia="Arial" w:hAnsi="Arial"/>
          <w:color w:val="1B2631"/>
          <w:sz w:val="22"/>
          <w:szCs w:val="22"/>
        </w:rPr>
        <w:t xml:space="preserve">C3. A measured evaluation with hard negatives. A 20-paper gold standard in which nine negatives contain large but irrelevant numbers, so false positives are measured rather than hidden. Results in Chapter 6.</w:t>
      </w:r>
    </w:p>
    <w:p>
      <w:pPr>
        <w:spacing w:after="60" w:before="60" w:line="276"/>
      </w:pPr>
      <w:r>
        <w:rPr>
          <w:rFonts w:ascii="Arial" w:cs="Arial" w:eastAsia="Arial" w:hAnsi="Arial"/>
          <w:color w:val="1B2631"/>
          <w:sz w:val="22"/>
          <w:szCs w:val="22"/>
        </w:rPr>
        <w:t xml:space="preserve">C4. A quantified account of the data-availability ceiling. Measurement showing that 28% of papers in a representative graph carry no abstract in the primary provider, that all of those were recoverable from a second provider, and that this data gap constrained recall more than extraction logic did.</w:t>
      </w:r>
    </w:p>
    <w:p>
      <w:pPr>
        <w:spacing w:after="60" w:before="60" w:line="276"/>
      </w:pPr>
      <w:r>
        <w:rPr>
          <w:rFonts w:ascii="Arial" w:cs="Arial" w:eastAsia="Arial" w:hAnsi="Arial"/>
          <w:color w:val="1B2631"/>
          <w:sz w:val="22"/>
          <w:szCs w:val="22"/>
        </w:rPr>
        <w:t xml:space="preserve">C5. A documented catalogue of defects found by measurement. Chapter 5 records eight defects in the delivered system that were found only by instrumenting and measuring it, including a traversal fault that discarded the majority of every graph. These are reported because a thesis that describes only the working system teaches less than one that describes how the faults were found.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1.7 Thesis Structure</w:t>
      </w:r>
    </w:p>
    <w:p>
      <w:pPr>
        <w:spacing w:after="60" w:before="60" w:line="276"/>
      </w:pPr>
      <w:r>
        <w:rPr>
          <w:rFonts w:ascii="Arial" w:cs="Arial" w:eastAsia="Arial" w:hAnsi="Arial"/>
          <w:color w:val="1B2631"/>
          <w:sz w:val="22"/>
          <w:szCs w:val="22"/>
        </w:rPr>
        <w:t xml:space="preserve">Chapter 2 reviews citation analysis, scholarly data infrastructure, biomedical information extraction and evidence appraisal, and positions this work against each.</w:t>
      </w:r>
    </w:p>
    <w:p>
      <w:pPr>
        <w:spacing w:after="60" w:before="60" w:line="276"/>
      </w:pPr>
      <w:r>
        <w:rPr>
          <w:rFonts w:ascii="Arial" w:cs="Arial" w:eastAsia="Arial" w:hAnsi="Arial"/>
          <w:color w:val="1B2631"/>
          <w:sz w:val="22"/>
          <w:szCs w:val="22"/>
        </w:rPr>
        <w:t xml:space="preserve">Chapter 3 states functional and non-functional requirements, describes the development methodology, and defines the evaluation strategy.</w:t>
      </w:r>
    </w:p>
    <w:p>
      <w:pPr>
        <w:spacing w:after="60" w:before="60" w:line="276"/>
      </w:pPr>
      <w:r>
        <w:rPr>
          <w:rFonts w:ascii="Arial" w:cs="Arial" w:eastAsia="Arial" w:hAnsi="Arial"/>
          <w:color w:val="1B2631"/>
          <w:sz w:val="22"/>
          <w:szCs w:val="22"/>
        </w:rPr>
        <w:t xml:space="preserve">Chapter 4 presents the architecture, the data model and the algorithms.</w:t>
      </w:r>
    </w:p>
    <w:p>
      <w:pPr>
        <w:spacing w:after="60" w:before="60" w:line="276"/>
      </w:pPr>
      <w:r>
        <w:rPr>
          <w:rFonts w:ascii="Arial" w:cs="Arial" w:eastAsia="Arial" w:hAnsi="Arial"/>
          <w:color w:val="1B2631"/>
          <w:sz w:val="22"/>
          <w:szCs w:val="22"/>
        </w:rPr>
        <w:t xml:space="preserve">Chapter 5 describes the implementation, including the defects found during measurement and how each was resolved.</w:t>
      </w:r>
    </w:p>
    <w:p>
      <w:pPr>
        <w:spacing w:after="60" w:before="60" w:line="276"/>
      </w:pPr>
      <w:r>
        <w:rPr>
          <w:rFonts w:ascii="Arial" w:cs="Arial" w:eastAsia="Arial" w:hAnsi="Arial"/>
          <w:color w:val="1B2631"/>
          <w:sz w:val="22"/>
          <w:szCs w:val="22"/>
        </w:rPr>
        <w:t xml:space="preserve">Chapter 6 reports the evaluation: gold standard construction, measured results for each module, performance characterisation, and failure analysis.</w:t>
      </w:r>
    </w:p>
    <w:p>
      <w:pPr>
        <w:spacing w:after="60" w:before="60" w:line="276"/>
      </w:pPr>
      <w:r>
        <w:rPr>
          <w:rFonts w:ascii="Arial" w:cs="Arial" w:eastAsia="Arial" w:hAnsi="Arial"/>
          <w:color w:val="1B2631"/>
          <w:sz w:val="22"/>
          <w:szCs w:val="22"/>
        </w:rPr>
        <w:t xml:space="preserve">Chapter 7 interprets the results, states threats to validity, and catalogues every divergence between the proposal and the delivered system.</w:t>
      </w:r>
    </w:p>
    <w:p>
      <w:pPr>
        <w:spacing w:after="60" w:before="60" w:line="276"/>
      </w:pPr>
      <w:r>
        <w:rPr>
          <w:rFonts w:ascii="Arial" w:cs="Arial" w:eastAsia="Arial" w:hAnsi="Arial"/>
          <w:color w:val="1B2631"/>
          <w:sz w:val="22"/>
          <w:szCs w:val="22"/>
        </w:rPr>
        <w:t xml:space="preserve">Chapter 8 concludes and sets out future work.</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2: Literature Review</w:t>
      </w:r>
    </w:p>
    <w:p>
      <w:pPr>
        <w:spacing w:after="60" w:before="60" w:line="276"/>
      </w:pPr>
      <w:r>
        <w:rPr>
          <w:rFonts w:ascii="Arial" w:cs="Arial" w:eastAsia="Arial" w:hAnsi="Arial"/>
          <w:color w:val="1B2631"/>
          <w:sz w:val="22"/>
          <w:szCs w:val="22"/>
        </w:rPr>
        <w:t xml:space="preserve">This chapter surveys four bodies of work that the project draws on: citation analysis and bibliometrics (2.1), the structure of citation networks (2.2), scholarly data infrastructure (2.3), and biomedical information extraction (2.4). Section 2.5 reviews evidence appraisal, which supplies the project's motivating assumption. Section 2.6 states the gap.</w:t>
      </w:r>
    </w:p>
    <w:p>
      <w:pPr>
        <w:spacing w:after="60" w:before="60" w:line="276"/>
      </w:pPr>
      <w:r>
        <w:rPr>
          <w:rFonts w:ascii="Arial" w:cs="Arial" w:eastAsia="Arial" w:hAnsi="Arial"/>
          <w:color w:val="1B2631"/>
          <w:sz w:val="22"/>
          <w:szCs w:val="22"/>
        </w:rPr>
        <w:t xml:space="preserve">Every work cited in this chapter was resolved against Crossref or OpenAlex before being cited; the verification procedure and the resulting metadata are given in Appendix E. Three candidate references were discarded during that process because the identifiers initially assigned to them resolved to different papers; this is reported in Section 6.7 as a methodological note.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2.1 Citation Indexing and Bibliometric Indicators</w:t>
      </w:r>
    </w:p>
    <w:p>
      <w:pPr>
        <w:pStyle w:val="Heading3"/>
        <w:keepNext/>
        <w:spacing w:after="120" w:before="240"/>
      </w:pPr>
      <w:r>
        <w:rPr>
          <w:rFonts w:ascii="Arial" w:cs="Arial" w:eastAsia="Arial" w:hAnsi="Arial"/>
          <w:b w:val="false"/>
          <w:bCs w:val="false"/>
          <w:color w:val="1F784E"/>
          <w:sz w:val="24"/>
          <w:szCs w:val="24"/>
        </w:rPr>
        <w:t xml:space="preserve">2.1.1 The citation index</w:t>
      </w:r>
    </w:p>
    <w:p>
      <w:pPr>
        <w:spacing w:after="60" w:before="60" w:line="276"/>
      </w:pPr>
      <w:r>
        <w:rPr>
          <w:rFonts w:ascii="Arial" w:cs="Arial" w:eastAsia="Arial" w:hAnsi="Arial"/>
          <w:color w:val="1B2631"/>
          <w:sz w:val="22"/>
          <w:szCs w:val="22"/>
        </w:rPr>
        <w:t xml:space="preserve">Garfield's 1955 proposal introduced the citation index as an instrument for science rather than merely a bibliographic convenience [garfield1955]. The central argument was that the citation is a directed assertion of dependence, and that a machine-readable index of such assertions would let a reader move through the literature along lines of intellectual descent rather than by subject heading. The paper anticipates the use this project makes of citation data: following edges backwards to reach antecedents.</w:t>
      </w:r>
    </w:p>
    <w:p>
      <w:pPr>
        <w:spacing w:after="60" w:before="60" w:line="276"/>
      </w:pPr>
      <w:r>
        <w:rPr>
          <w:rFonts w:ascii="Arial" w:cs="Arial" w:eastAsia="Arial" w:hAnsi="Arial"/>
          <w:color w:val="1B2631"/>
          <w:sz w:val="22"/>
          <w:szCs w:val="22"/>
        </w:rPr>
        <w:t xml:space="preserve">Garfield also anticipated the failure mode. He noted that a citation may be critical as easily as supportive, and that an index records the link without recording its valence. This limitation is unresolved seventy years on and applies directly to the present work: CiteGraph-NLP treats every citation as a positive dependency because the available APIs expose no sentiment.</w:t>
      </w:r>
    </w:p>
    <w:p>
      <w:pPr>
        <w:pStyle w:val="Heading3"/>
        <w:keepNext/>
        <w:spacing w:after="120" w:before="240"/>
      </w:pPr>
      <w:r>
        <w:rPr>
          <w:rFonts w:ascii="Arial" w:cs="Arial" w:eastAsia="Arial" w:hAnsi="Arial"/>
          <w:b w:val="false"/>
          <w:bCs w:val="false"/>
          <w:color w:val="1F784E"/>
          <w:sz w:val="24"/>
          <w:szCs w:val="24"/>
        </w:rPr>
        <w:t xml:space="preserve">2.1.2 Count-based indicators and their known confounds</w:t>
      </w:r>
    </w:p>
    <w:p>
      <w:pPr>
        <w:spacing w:after="60" w:before="60" w:line="276"/>
      </w:pPr>
      <w:r>
        <w:rPr>
          <w:rFonts w:ascii="Arial" w:cs="Arial" w:eastAsia="Arial" w:hAnsi="Arial"/>
          <w:color w:val="1B2631"/>
          <w:sz w:val="22"/>
          <w:szCs w:val="22"/>
        </w:rPr>
        <w:t xml:space="preserve">The h-index [hirsch2005hindex] proposed a single number combining productivity and impact: an author has index h if h of their papers have at least h citations each. Its appeal is robustness to both a long tail of uncited work and a single exceptional paper.</w:t>
      </w:r>
    </w:p>
    <w:p>
      <w:pPr>
        <w:spacing w:after="60" w:before="60" w:line="276"/>
      </w:pPr>
      <w:r>
        <w:rPr>
          <w:rFonts w:ascii="Arial" w:cs="Arial" w:eastAsia="Arial" w:hAnsi="Arial"/>
          <w:color w:val="1B2631"/>
          <w:sz w:val="22"/>
          <w:szCs w:val="22"/>
        </w:rPr>
        <w:t xml:space="preserve">Waltman's review of citation impact indicators [waltman2016review] surveys the subsequent literature and catalogues the confounds that affect this whole family of measures. Three matter here. Citation practice differs by field, so raw counts are not comparable across disciplines. Counts accumulate with time, so older papers are advantaged and recent work is systematically under-represented. And review articles attract citations disproportionately to primary studies, which is precisely inverted relative to what a reader tracing foundational evidence wants.</w:t>
      </w:r>
    </w:p>
    <w:p>
      <w:pPr>
        <w:spacing w:after="60" w:before="60" w:line="276"/>
      </w:pPr>
      <w:r>
        <w:rPr>
          <w:rFonts w:ascii="Arial" w:cs="Arial" w:eastAsia="Arial" w:hAnsi="Arial"/>
          <w:color w:val="1B2631"/>
          <w:sz w:val="22"/>
          <w:szCs w:val="22"/>
        </w:rPr>
        <w:t xml:space="preserve">This project responds to the third confound directly. The foundational ranking described in Section 4.6 combines PageRank with an age term, deliberately advantaging older work, because the target is the origin of a line of research rather than its most popular recent summary. Whether this succeeds is examined in Section 6.5, and Section 7.3 notes that no formal relevance study was run.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2.2 Structure and Dynamics of Citation Networks</w:t>
      </w:r>
    </w:p>
    <w:p>
      <w:pPr>
        <w:pStyle w:val="Heading3"/>
        <w:keepNext/>
        <w:spacing w:after="120" w:before="240"/>
      </w:pPr>
      <w:r>
        <w:rPr>
          <w:rFonts w:ascii="Arial" w:cs="Arial" w:eastAsia="Arial" w:hAnsi="Arial"/>
          <w:b w:val="false"/>
          <w:bCs w:val="false"/>
          <w:color w:val="1F784E"/>
          <w:sz w:val="24"/>
          <w:szCs w:val="24"/>
        </w:rPr>
        <w:t xml:space="preserve">2.2.1 Empirical distribution of citations</w:t>
      </w:r>
    </w:p>
    <w:p>
      <w:pPr>
        <w:spacing w:after="60" w:before="60" w:line="276"/>
      </w:pPr>
      <w:r>
        <w:rPr>
          <w:rFonts w:ascii="Arial" w:cs="Arial" w:eastAsia="Arial" w:hAnsi="Arial"/>
          <w:color w:val="1B2631"/>
          <w:sz w:val="22"/>
          <w:szCs w:val="22"/>
        </w:rPr>
        <w:t xml:space="preserve">Redner's empirical study of citation distributions [redner1998citation] established that citation counts are extremely heavy-tailed: the large majority of papers receive few citations while a small minority receive very many. Radicchi and colleagues [radicchi2008universality] showed that after normalising by field-average citation count, the distributions across disciplines collapse onto a common curve, which both explains the incomparability of raw counts and suggests a normalisation.</w:t>
      </w:r>
    </w:p>
    <w:p>
      <w:pPr>
        <w:spacing w:after="60" w:before="60" w:line="276"/>
      </w:pPr>
      <w:r>
        <w:rPr>
          <w:rFonts w:ascii="Arial" w:cs="Arial" w:eastAsia="Arial" w:hAnsi="Arial"/>
          <w:color w:val="1B2631"/>
          <w:sz w:val="22"/>
          <w:szCs w:val="22"/>
        </w:rPr>
        <w:t xml:space="preserve">The practical consequence for this project is a design constraint rather than a theoretical one. Because the distribution is heavy-tailed, a seed paper may have tens of thousands of citing works, the AlphaFold paper used as a test case in Chapter 6 has over thirty thousand. No interactive traversal can enumerate them. Section 4.5 describes the sampling strategy this forces, and Section 7.3 treats the resulting incompleteness as a threat to validity.</w:t>
      </w:r>
    </w:p>
    <w:p>
      <w:pPr>
        <w:pStyle w:val="Heading3"/>
        <w:keepNext/>
        <w:spacing w:after="120" w:before="240"/>
      </w:pPr>
      <w:r>
        <w:rPr>
          <w:rFonts w:ascii="Arial" w:cs="Arial" w:eastAsia="Arial" w:hAnsi="Arial"/>
          <w:b w:val="false"/>
          <w:bCs w:val="false"/>
          <w:color w:val="1F784E"/>
          <w:sz w:val="24"/>
          <w:szCs w:val="24"/>
        </w:rPr>
        <w:t xml:space="preserve">2.2.2 Network models of scientific collaboration and citation</w:t>
      </w:r>
    </w:p>
    <w:p>
      <w:pPr>
        <w:spacing w:after="60" w:before="60" w:line="276"/>
      </w:pPr>
      <w:r>
        <w:rPr>
          <w:rFonts w:ascii="Arial" w:cs="Arial" w:eastAsia="Arial" w:hAnsi="Arial"/>
          <w:color w:val="1B2631"/>
          <w:sz w:val="22"/>
          <w:szCs w:val="22"/>
        </w:rPr>
        <w:t xml:space="preserve">Newman's analysis of scientific collaboration networks [newman2001structure] characterised the small-world and clustering properties of coauthorship graphs. Although coauthorship is not citation, the structural findings, short path lengths, high clustering, heavy-tailed degree, recur in citation graphs and bear on this system: short paths mean a bounded-depth traversal reaches substantial portions of a local neighbourhood, and high clustering means the papers retrieved tend to be topically coherent, which is observed empirically in Section 6.5.</w:t>
      </w:r>
    </w:p>
    <w:p>
      <w:pPr>
        <w:pStyle w:val="Heading3"/>
        <w:keepNext/>
        <w:spacing w:after="120" w:before="240"/>
      </w:pPr>
      <w:r>
        <w:rPr>
          <w:rFonts w:ascii="Arial" w:cs="Arial" w:eastAsia="Arial" w:hAnsi="Arial"/>
          <w:b w:val="false"/>
          <w:bCs w:val="false"/>
          <w:color w:val="1F784E"/>
          <w:sz w:val="24"/>
          <w:szCs w:val="24"/>
        </w:rPr>
        <w:t xml:space="preserve">2.2.3 PageRank applied to citation networks</w:t>
      </w:r>
    </w:p>
    <w:p>
      <w:pPr>
        <w:spacing w:after="60" w:before="60" w:line="276"/>
      </w:pPr>
      <w:r>
        <w:rPr>
          <w:rFonts w:ascii="Arial" w:cs="Arial" w:eastAsia="Arial" w:hAnsi="Arial"/>
          <w:color w:val="1B2631"/>
          <w:sz w:val="22"/>
          <w:szCs w:val="22"/>
        </w:rPr>
        <w:t xml:space="preserve">Brin and Page's description of the Google search engine [brin1998anatomy] introduced PageRank as a recursive measure of importance over a directed graph: a node is important if important nodes point to it. The method was devised for hyperlinks, but citation graphs are directed graphs of the same shape.</w:t>
      </w:r>
    </w:p>
    <w:p>
      <w:pPr>
        <w:spacing w:after="60" w:before="60" w:line="276"/>
      </w:pPr>
      <w:r>
        <w:rPr>
          <w:rFonts w:ascii="Arial" w:cs="Arial" w:eastAsia="Arial" w:hAnsi="Arial"/>
          <w:color w:val="1B2631"/>
          <w:sz w:val="22"/>
          <w:szCs w:val="22"/>
        </w:rPr>
        <w:t xml:space="preserve">Chen and colleagues applied PageRank directly to a physics citation network [chen2007gems] and found that it surfaces papers that raw citation count does not, work that is cited by influential papers rather than by many papers. They characterise these as "scientific gems". Walker and colleagues proposed CiteRank [walker2007citerank], a model of network traffic that adds an explicit ageing term so that recent papers are not penalised purely for having had less time to accumulate citations.</w:t>
      </w:r>
    </w:p>
    <w:p>
      <w:pPr>
        <w:spacing w:after="60" w:before="60" w:line="276"/>
      </w:pPr>
      <w:r>
        <w:rPr>
          <w:rFonts w:ascii="Arial" w:cs="Arial" w:eastAsia="Arial" w:hAnsi="Arial"/>
          <w:color w:val="1B2631"/>
          <w:sz w:val="22"/>
          <w:szCs w:val="22"/>
        </w:rPr>
        <w:t xml:space="preserve">These two papers are the closest prior art to the ranking component of this project, and the relationship should be stated plainly: the ranking method used here is not novel. PageRank over a citation graph, with an age adjustment, is exactly what Chen et al. and Walker et al. describe. The difference in this work is not the algorithm but the edge weights it operates on. Chen et al. run PageRank over an unweighted citation graph; CiteRank weights by age. CiteGraph-NLP weights each edge by extracted study-scale evidence. Whether that weighting is an improvement is not established by this thesis and is not claimed; Section 7.3 is explicit that no comparative ranking experiment against an unweighted baseline was conducted.</w:t>
      </w:r>
    </w:p>
    <w:p>
      <w:pPr>
        <w:pStyle w:val="Heading3"/>
        <w:keepNext/>
        <w:spacing w:after="120" w:before="240"/>
      </w:pPr>
      <w:r>
        <w:rPr>
          <w:rFonts w:ascii="Arial" w:cs="Arial" w:eastAsia="Arial" w:hAnsi="Arial"/>
          <w:b w:val="false"/>
          <w:bCs w:val="false"/>
          <w:color w:val="1F784E"/>
          <w:sz w:val="24"/>
          <w:szCs w:val="24"/>
        </w:rPr>
        <w:t xml:space="preserve">2.2.4 Co-citation analysis and visualisation</w:t>
      </w:r>
    </w:p>
    <w:p>
      <w:pPr>
        <w:spacing w:after="60" w:before="60" w:line="276"/>
      </w:pPr>
      <w:r>
        <w:rPr>
          <w:rFonts w:ascii="Arial" w:cs="Arial" w:eastAsia="Arial" w:hAnsi="Arial"/>
          <w:color w:val="1B2631"/>
          <w:sz w:val="22"/>
          <w:szCs w:val="22"/>
        </w:rPr>
        <w:t xml:space="preserve">Chen's CiteSpace [chen2007cocitation] provides interactive visual analytics over co-citation networks, detecting emerging trends and intellectual turning points. It shares this project's premise that a citation network is best interrogated visually and interactively rather than reduced to a ranking. It differs in unit of analysis: CiteSpace works from a corpus supplied by the user, typically a search result set, whereas CiteGraph-NLP expands outward from a single seed.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2.3 Scholarly Data Infrastructure</w:t>
      </w:r>
    </w:p>
    <w:p>
      <w:pPr>
        <w:spacing w:after="60" w:before="60" w:line="276"/>
      </w:pPr>
      <w:r>
        <w:rPr>
          <w:rFonts w:ascii="Arial" w:cs="Arial" w:eastAsia="Arial" w:hAnsi="Arial"/>
          <w:color w:val="1B2631"/>
          <w:sz w:val="22"/>
          <w:szCs w:val="22"/>
        </w:rPr>
        <w:t xml:space="preserve">The feasibility of this project rests entirely on the availability of open citation data. Four sources are relevant.</w:t>
      </w:r>
    </w:p>
    <w:p>
      <w:pPr>
        <w:spacing w:after="60" w:before="60" w:line="276"/>
      </w:pPr>
      <w:r>
        <w:rPr>
          <w:rFonts w:ascii="Arial" w:cs="Arial" w:eastAsia="Arial" w:hAnsi="Arial"/>
          <w:color w:val="1B2631"/>
          <w:sz w:val="22"/>
          <w:szCs w:val="22"/>
        </w:rPr>
        <w:t xml:space="preserve">Crossref [hendricks2020crossref] is the DOI registration agency for scholarly publishing and the canonical source for publisher-deposited metadata, including reference lists where publishers deposit them. Crossref's coverage of reference lists is uneven because deposit is at publisher discretion, a limitation this project encountered directly and quantified in Section 6.3.</w:t>
      </w:r>
    </w:p>
    <w:p>
      <w:pPr>
        <w:spacing w:after="60" w:before="60" w:line="276"/>
      </w:pPr>
      <w:r>
        <w:rPr>
          <w:rFonts w:ascii="Arial" w:cs="Arial" w:eastAsia="Arial" w:hAnsi="Arial"/>
          <w:color w:val="1B2631"/>
          <w:sz w:val="22"/>
          <w:szCs w:val="22"/>
        </w:rPr>
        <w:t xml:space="preserve">OpenAlex [priem2022openalex] is an open catalogue of scholarly works succeeding the discontinued Microsoft Academic Graph. It provides works, authors, venues and, critically here, both referenced</w:t>
      </w:r>
      <w:r>
        <w:rPr>
          <w:rFonts w:ascii="Arial" w:cs="Arial" w:eastAsia="Arial" w:hAnsi="Arial"/>
          <w:color w:val="1B2631"/>
          <w:sz w:val="22"/>
          <w:szCs w:val="22"/>
        </w:rPr>
        <w:t xml:space="preserve">_</w:t>
      </w:r>
      <w:r>
        <w:rPr>
          <w:rFonts w:ascii="Arial" w:cs="Arial" w:eastAsia="Arial" w:hAnsi="Arial"/>
          <w:color w:val="1B2631"/>
          <w:sz w:val="22"/>
          <w:szCs w:val="22"/>
        </w:rPr>
        <w:t xml:space="preserve">works and a cites filter supporting forward citation queries. It is the primary provider in this system.</w:t>
      </w:r>
    </w:p>
    <w:p>
      <w:pPr>
        <w:spacing w:after="60" w:before="60" w:line="276"/>
      </w:pPr>
      <w:r>
        <w:rPr>
          <w:rFonts w:ascii="Arial" w:cs="Arial" w:eastAsia="Arial" w:hAnsi="Arial"/>
          <w:color w:val="1B2631"/>
          <w:sz w:val="22"/>
          <w:szCs w:val="22"/>
        </w:rPr>
        <w:t xml:space="preserve">Microsoft Academic Graph [wang2020mag] was the prior generation of this infrastructure. Its discontinuation, and OpenAlex's emergence as successor, is a reminder that a system built on a single provider inherits that provider's lifespan, one motivation for the multi-provider design in Section 4.3.</w:t>
      </w:r>
    </w:p>
    <w:p>
      <w:pPr>
        <w:spacing w:after="60" w:before="60" w:line="276"/>
      </w:pPr>
      <w:r>
        <w:rPr>
          <w:rFonts w:ascii="Arial" w:cs="Arial" w:eastAsia="Arial" w:hAnsi="Arial"/>
          <w:color w:val="1B2631"/>
          <w:sz w:val="22"/>
          <w:szCs w:val="22"/>
        </w:rPr>
        <w:t xml:space="preserve">Europe PMC [europepmc2015] is a full-text literature database for the life sciences providing abstracts and, for open-access content, full text. In this system it began as a third metadata provider and became, as measured in Section 6.3, the decisive source of abstract text: 28% of papers in a representative graph carried no abstract in OpenAlex, and all of them were recoverable from Europe PMC.</w:t>
      </w:r>
    </w:p>
    <w:p>
      <w:pPr>
        <w:spacing w:after="60" w:before="60" w:line="276"/>
      </w:pPr>
      <w:r>
        <w:rPr>
          <w:rFonts w:ascii="Arial" w:cs="Arial" w:eastAsia="Arial" w:hAnsi="Arial"/>
          <w:color w:val="1B2631"/>
          <w:sz w:val="22"/>
          <w:szCs w:val="22"/>
        </w:rPr>
        <w:t xml:space="preserve">Unpaywall [martin2021oadoi] characterises the open-access state of the literature. Its relevance is to the full-text extension discussed in Section 8.2: any move from abstracts to full text must first determine which articles are legally retrievable.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2.4 Biomedical Information Extraction</w:t>
      </w:r>
    </w:p>
    <w:p>
      <w:pPr>
        <w:pStyle w:val="Heading3"/>
        <w:keepNext/>
        <w:spacing w:after="120" w:before="240"/>
      </w:pPr>
      <w:r>
        <w:rPr>
          <w:rFonts w:ascii="Arial" w:cs="Arial" w:eastAsia="Arial" w:hAnsi="Arial"/>
          <w:b w:val="false"/>
          <w:bCs w:val="false"/>
          <w:color w:val="1F784E"/>
          <w:sz w:val="24"/>
          <w:szCs w:val="24"/>
        </w:rPr>
        <w:t xml:space="preserve">2.4.1 Annotated corpora</w:t>
      </w:r>
    </w:p>
    <w:p>
      <w:pPr>
        <w:spacing w:after="60" w:before="60" w:line="276"/>
      </w:pPr>
      <w:r>
        <w:rPr>
          <w:rFonts w:ascii="Arial" w:cs="Arial" w:eastAsia="Arial" w:hAnsi="Arial"/>
          <w:color w:val="1B2631"/>
          <w:sz w:val="22"/>
          <w:szCs w:val="22"/>
        </w:rPr>
        <w:t xml:space="preserve">The GENIA corpus [kim2003genia] established the pattern for biomedical IE evaluation: a semantically annotated corpus of abstracts supporting supervised training and comparable evaluation. Its significance for this project is methodological, it demonstrates that abstract-level annotation is a legitimate evaluation substrate, which is the basis for the gold standard in Section 6.1.</w:t>
      </w:r>
    </w:p>
    <w:p>
      <w:pPr>
        <w:pStyle w:val="Heading3"/>
        <w:keepNext/>
        <w:spacing w:after="120" w:before="240"/>
      </w:pPr>
      <w:r>
        <w:rPr>
          <w:rFonts w:ascii="Arial" w:cs="Arial" w:eastAsia="Arial" w:hAnsi="Arial"/>
          <w:b w:val="false"/>
          <w:bCs w:val="false"/>
          <w:color w:val="1F784E"/>
          <w:sz w:val="24"/>
          <w:szCs w:val="24"/>
        </w:rPr>
        <w:t xml:space="preserve">2.4.2 PICO extraction</w:t>
      </w:r>
    </w:p>
    <w:p>
      <w:pPr>
        <w:spacing w:after="60" w:before="60" w:line="276"/>
      </w:pPr>
      <w:r>
        <w:rPr>
          <w:rFonts w:ascii="Arial" w:cs="Arial" w:eastAsia="Arial" w:hAnsi="Arial"/>
          <w:color w:val="1B2631"/>
          <w:sz w:val="22"/>
          <w:szCs w:val="22"/>
        </w:rPr>
        <w:t xml:space="preserve">The task closest to this project's extraction component is PICO element detection: identifying Population, Intervention, Comparison and Outcome spans in clinical abstracts. The EBM-NLP corpus [nye2018ebmnlp] provides multi-level annotations of these elements over a large set of abstracts. Jin and Szolovits [jin2018pico] approach the detection task with LSTM models.</w:t>
      </w:r>
    </w:p>
    <w:p>
      <w:pPr>
        <w:spacing w:after="60" w:before="60" w:line="276"/>
      </w:pPr>
      <w:r>
        <w:rPr>
          <w:rFonts w:ascii="Arial" w:cs="Arial" w:eastAsia="Arial" w:hAnsi="Arial"/>
          <w:color w:val="1B2631"/>
          <w:sz w:val="22"/>
          <w:szCs w:val="22"/>
        </w:rPr>
        <w:t xml:space="preserve">The P of PICO is the element this project extracts, but with an important narrowing. PICO population annotation captures the described population, "adults over 65 with type 2 diabetes", as a text span. CiteGraph-NLP extracts the cardinality of that population: the integer count of subjects. These are related but distinct tasks, and the distinction matters when comparing results. A PICO system that correctly identifies a population span has not necessarily identified a sample size.</w:t>
      </w:r>
    </w:p>
    <w:p>
      <w:pPr>
        <w:spacing w:after="60" w:before="60" w:line="276"/>
      </w:pPr>
      <w:r>
        <w:rPr>
          <w:rFonts w:ascii="Arial" w:cs="Arial" w:eastAsia="Arial" w:hAnsi="Arial"/>
          <w:color w:val="1B2631"/>
          <w:sz w:val="22"/>
          <w:szCs w:val="22"/>
        </w:rPr>
        <w:t xml:space="preserve">The methodological gap is worth stating plainly: EBM-NLP and the systems trained on it are supervised, trained on thousands of annotated abstracts. This project uses hand-written patterns evaluated on twenty. Section 7.3 treats the resulting limits on generalisability as the principal threat to validity in the extraction results, and Section 8.2 identifies supervised extraction as the clearest improvement path.</w:t>
      </w:r>
    </w:p>
    <w:p>
      <w:pPr>
        <w:pStyle w:val="Heading3"/>
        <w:keepNext/>
        <w:spacing w:after="120" w:before="240"/>
      </w:pPr>
      <w:r>
        <w:rPr>
          <w:rFonts w:ascii="Arial" w:cs="Arial" w:eastAsia="Arial" w:hAnsi="Arial"/>
          <w:b w:val="false"/>
          <w:bCs w:val="false"/>
          <w:color w:val="1F784E"/>
          <w:sz w:val="24"/>
          <w:szCs w:val="24"/>
        </w:rPr>
        <w:t xml:space="preserve">2.4.3 Domain-adapted language models</w:t>
      </w:r>
    </w:p>
    <w:p>
      <w:pPr>
        <w:spacing w:after="60" w:before="60" w:line="276"/>
      </w:pPr>
      <w:r>
        <w:rPr>
          <w:rFonts w:ascii="Arial" w:cs="Arial" w:eastAsia="Arial" w:hAnsi="Arial"/>
          <w:color w:val="1B2631"/>
          <w:sz w:val="22"/>
          <w:szCs w:val="22"/>
        </w:rPr>
        <w:t xml:space="preserve">BioBERT [lee2020biobert] and SciBERT [beltagy2019scibert] demonstrated that pretraining transformer models on biomedical and scientific text respectively yields substantial gains over general-domain models on domain tasks. ScispaCy [neumann2019scispacy] packages practical biomedical NLP pipelines.</w:t>
      </w:r>
    </w:p>
    <w:p>
      <w:pPr>
        <w:spacing w:after="60" w:before="60" w:line="276"/>
      </w:pPr>
      <w:r>
        <w:rPr>
          <w:rFonts w:ascii="Arial" w:cs="Arial" w:eastAsia="Arial" w:hAnsi="Arial"/>
          <w:color w:val="1B2631"/>
          <w:sz w:val="22"/>
          <w:szCs w:val="22"/>
        </w:rPr>
        <w:t xml:space="preserve">None of these is used in the delivered system, which extracts using regular expressions. This is a deliberate scope decision rather than an oversight, and the trade-off should be stated honestly. Pattern-based extraction is transparent, every decision traces to a named pattern and can be explained to a user, and requires no training data, which the project did not have. It is also brittle in exactly the way Section 6.4 measures: the system distinguishes randomised from enrolled from analysed correctly in only 6 of 10 cases, a discrimination a domain-adapted model would be expected to make more reliably.</w:t>
      </w:r>
    </w:p>
    <w:p>
      <w:pPr>
        <w:pStyle w:val="Heading3"/>
        <w:keepNext/>
        <w:spacing w:after="120" w:before="240"/>
      </w:pPr>
      <w:r>
        <w:rPr>
          <w:rFonts w:ascii="Arial" w:cs="Arial" w:eastAsia="Arial" w:hAnsi="Arial"/>
          <w:b w:val="false"/>
          <w:bCs w:val="false"/>
          <w:color w:val="1F784E"/>
          <w:sz w:val="24"/>
          <w:szCs w:val="24"/>
        </w:rPr>
        <w:t xml:space="preserve">2.4.4 Automated evidence appraisal</w:t>
      </w:r>
    </w:p>
    <w:p>
      <w:pPr>
        <w:spacing w:after="60" w:before="60" w:line="276"/>
      </w:pPr>
      <w:r>
        <w:rPr>
          <w:rFonts w:ascii="Arial" w:cs="Arial" w:eastAsia="Arial" w:hAnsi="Arial"/>
          <w:color w:val="1B2631"/>
          <w:sz w:val="22"/>
          <w:szCs w:val="22"/>
        </w:rPr>
        <w:t xml:space="preserve">RobotReviewer [marshall2016robotreviewer] automatically assesses risk of bias in clinical trial reports, and Trialstreamer [marshall2020trialstreamer] maintains a living, automatically updated database of randomised controlled trials with extracted characteristics including sample size.</w:t>
      </w:r>
    </w:p>
    <w:p>
      <w:pPr>
        <w:spacing w:after="60" w:before="60" w:line="276"/>
      </w:pPr>
      <w:r>
        <w:rPr>
          <w:rFonts w:ascii="Arial" w:cs="Arial" w:eastAsia="Arial" w:hAnsi="Arial"/>
          <w:color w:val="1B2631"/>
          <w:sz w:val="22"/>
          <w:szCs w:val="22"/>
        </w:rPr>
        <w:t xml:space="preserve">Trialstreamer is the nearest system-level prior art to this project, and the comparison is instructive rather than favourable. Trialstreamer extracts trial characteristics at scale using trained models over full text, with published evaluation. CiteGraph-NLP extracts one characteristic from abstracts using patterns, evaluated on twenty papers. What this project does that Trialstreamer does not is use the extracted scale as a citation-graph edge weight, the combination of extraction with network analysis is where the work sits, not in the extraction itself.</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2.5 Evidence Appraisal and the Role of Study Size</w:t>
      </w:r>
    </w:p>
    <w:p>
      <w:pPr>
        <w:spacing w:after="60" w:before="60" w:line="276"/>
      </w:pPr>
      <w:r>
        <w:rPr>
          <w:rFonts w:ascii="Arial" w:cs="Arial" w:eastAsia="Arial" w:hAnsi="Arial"/>
          <w:color w:val="1B2631"/>
          <w:sz w:val="22"/>
          <w:szCs w:val="22"/>
        </w:rPr>
        <w:t xml:space="preserve">The premise that sample size is a meaningful proxy for evidential weight is supported by, but not identical to, the methodological literature.</w:t>
      </w:r>
    </w:p>
    <w:p>
      <w:pPr>
        <w:spacing w:after="60" w:before="60" w:line="276"/>
      </w:pPr>
      <w:r>
        <w:rPr>
          <w:rFonts w:ascii="Arial" w:cs="Arial" w:eastAsia="Arial" w:hAnsi="Arial"/>
          <w:color w:val="1B2631"/>
          <w:sz w:val="22"/>
          <w:szCs w:val="22"/>
        </w:rPr>
        <w:t xml:space="preserve">PRISMA [moher2009prisma] standardises the reporting of systematic reviews, and the Cochrane risk-of-bias tool [higgins2011cochrane] structures appraisal of individual trials. Both make clear that sample size is one dimension among several, allocation concealment, blinding, attrition and selective reporting all bear on trustworthiness, and none is captured by a participant count.</w:t>
      </w:r>
    </w:p>
    <w:p>
      <w:pPr>
        <w:spacing w:after="60" w:before="60" w:line="276"/>
      </w:pPr>
      <w:r>
        <w:rPr>
          <w:rFonts w:ascii="Arial" w:cs="Arial" w:eastAsia="Arial" w:hAnsi="Arial"/>
          <w:color w:val="1B2631"/>
          <w:sz w:val="22"/>
          <w:szCs w:val="22"/>
        </w:rPr>
        <w:t xml:space="preserve">Ioannidis [ioannidis2005why] and Button et al. [button2013power] supply the argument for why size nonetheless matters: underpowered studies both miss true effects and inflate the proportion of detected effects that are spurious.</w:t>
      </w:r>
    </w:p>
    <w:p>
      <w:pPr>
        <w:spacing w:after="60" w:before="60" w:line="276"/>
      </w:pPr>
      <w:r>
        <w:rPr>
          <w:rFonts w:ascii="Arial" w:cs="Arial" w:eastAsia="Arial" w:hAnsi="Arial"/>
          <w:color w:val="1B2631"/>
          <w:sz w:val="22"/>
          <w:szCs w:val="22"/>
        </w:rPr>
        <w:t xml:space="preserve">The honest position for this project is therefore narrow. Sample size is a cheaply extractable signal that correlates with evidential weight and is currently absent from citation graphs. It is not a measure of study quality, and the system must not be presented as appraising quality. Section 4.7 describes how this caution is surfaced in the interface, and the generated analysis reports carry an explicit statement to that effect.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2.6 Synthesis and Research Gap</w:t>
      </w:r>
    </w:p>
    <w:p>
      <w:pPr>
        <w:spacing w:after="60" w:before="60" w:line="276"/>
      </w:pPr>
      <w:r>
        <w:rPr>
          <w:rFonts w:ascii="Arial" w:cs="Arial" w:eastAsia="Arial" w:hAnsi="Arial"/>
          <w:color w:val="1B2631"/>
          <w:sz w:val="22"/>
          <w:szCs w:val="22"/>
        </w:rPr>
        <w:t xml:space="preserve">The reviewed literature supports four observations.</w:t>
      </w:r>
    </w:p>
    <w:p>
      <w:pPr>
        <w:pStyle w:val="ListParagraph"/>
        <w:numPr>
          <w:ilvl w:val="0"/>
          <w:numId w:val="12"/>
        </w:numPr>
        <w:spacing w:after="20" w:before="20" w:line="276"/>
      </w:pPr>
      <w:r>
        <w:rPr>
          <w:rFonts w:ascii="Arial" w:cs="Arial" w:eastAsia="Arial" w:hAnsi="Arial"/>
          <w:color w:val="1B2631"/>
          <w:sz w:val="22"/>
          <w:szCs w:val="22"/>
        </w:rPr>
        <w:t xml:space="preserve">Citation graphs are navigable and machine-readable at scale</w:t>
      </w:r>
    </w:p>
    <w:p>
      <w:pPr>
        <w:spacing w:after="60" w:before="60" w:line="276"/>
      </w:pPr>
      <w:r>
        <w:rPr>
          <w:rFonts w:ascii="Arial" w:cs="Arial" w:eastAsia="Arial" w:hAnsi="Arial"/>
          <w:color w:val="1B2631"/>
          <w:sz w:val="22"/>
          <w:szCs w:val="22"/>
        </w:rPr>
        <w:t xml:space="preserve">[garfield1955; priem2022openalex; hendricks2020crossref].</w:t>
      </w:r>
    </w:p>
    <w:p>
      <w:pPr>
        <w:pStyle w:val="ListParagraph"/>
        <w:numPr>
          <w:ilvl w:val="0"/>
          <w:numId w:val="13"/>
        </w:numPr>
        <w:spacing w:after="20" w:before="20" w:line="276"/>
      </w:pPr>
      <w:r>
        <w:rPr>
          <w:rFonts w:ascii="Arial" w:cs="Arial" w:eastAsia="Arial" w:hAnsi="Arial"/>
          <w:color w:val="1B2631"/>
          <w:sz w:val="22"/>
          <w:szCs w:val="22"/>
        </w:rPr>
        <w:t xml:space="preserve">Count-based indicators are confounded, and PageRank-family methods over</w:t>
      </w:r>
    </w:p>
    <w:p>
      <w:pPr>
        <w:spacing w:after="60" w:before="60" w:line="276"/>
      </w:pPr>
      <w:r>
        <w:rPr>
          <w:rFonts w:ascii="Arial" w:cs="Arial" w:eastAsia="Arial" w:hAnsi="Arial"/>
          <w:color w:val="1B2631"/>
          <w:sz w:val="22"/>
          <w:szCs w:val="22"/>
        </w:rPr>
        <w:t xml:space="preserve">citation graphs partially address this [waltman2016review; chen2007gems; walker2007citerank].</w:t>
      </w:r>
    </w:p>
    <w:p>
      <w:pPr>
        <w:pStyle w:val="ListParagraph"/>
        <w:numPr>
          <w:ilvl w:val="0"/>
          <w:numId w:val="14"/>
        </w:numPr>
        <w:spacing w:after="20" w:before="20" w:line="276"/>
      </w:pPr>
      <w:r>
        <w:rPr>
          <w:rFonts w:ascii="Arial" w:cs="Arial" w:eastAsia="Arial" w:hAnsi="Arial"/>
          <w:color w:val="1B2631"/>
          <w:sz w:val="22"/>
          <w:szCs w:val="22"/>
        </w:rPr>
        <w:t xml:space="preserve">Study characteristics including sample size can be extracted automatically</w:t>
      </w:r>
    </w:p>
    <w:p>
      <w:pPr>
        <w:spacing w:after="60" w:before="60" w:line="276"/>
      </w:pPr>
      <w:r>
        <w:rPr>
          <w:rFonts w:ascii="Arial" w:cs="Arial" w:eastAsia="Arial" w:hAnsi="Arial"/>
          <w:color w:val="1B2631"/>
          <w:sz w:val="22"/>
          <w:szCs w:val="22"/>
        </w:rPr>
        <w:t xml:space="preserve">from clinical text [nye2018ebmnlp; marshall2020trialstreamer].</w:t>
      </w:r>
    </w:p>
    <w:p>
      <w:pPr>
        <w:pStyle w:val="ListParagraph"/>
        <w:numPr>
          <w:ilvl w:val="0"/>
          <w:numId w:val="15"/>
        </w:numPr>
        <w:spacing w:after="20" w:before="20" w:line="276"/>
      </w:pPr>
      <w:r>
        <w:rPr>
          <w:rFonts w:ascii="Arial" w:cs="Arial" w:eastAsia="Arial" w:hAnsi="Arial"/>
          <w:color w:val="1B2631"/>
          <w:sz w:val="22"/>
          <w:szCs w:val="22"/>
        </w:rPr>
        <w:t xml:space="preserve">Sample size is one legitimate, if partial, component of evidential weight</w:t>
      </w:r>
    </w:p>
    <w:p>
      <w:pPr>
        <w:spacing w:after="60" w:before="60" w:line="276"/>
      </w:pPr>
      <w:r>
        <w:rPr>
          <w:rFonts w:ascii="Arial" w:cs="Arial" w:eastAsia="Arial" w:hAnsi="Arial"/>
          <w:color w:val="1B2631"/>
          <w:sz w:val="22"/>
          <w:szCs w:val="22"/>
        </w:rPr>
        <w:t xml:space="preserve">[ioannidis2005why; button2013power].</w:t>
      </w:r>
    </w:p>
    <w:p>
      <w:pPr>
        <w:spacing w:after="60" w:before="60" w:line="276"/>
      </w:pPr>
      <w:r>
        <w:rPr>
          <w:rFonts w:ascii="Arial" w:cs="Arial" w:eastAsia="Arial" w:hAnsi="Arial"/>
          <w:color w:val="1B2631"/>
          <w:sz w:val="22"/>
          <w:szCs w:val="22"/>
        </w:rPr>
        <w:t xml:space="preserve">Observations 2 and 3 have developed largely independently. Citation-graph analysis treats edges as uniform; evidence extraction produces study characteristics that are used for search and synthesis but not fed back into the network. The gap this project addresses is the connection between them: using automatically extracted study-scale evidence as a weight on citation edges, and propagating that weight through a graph ranking.</w:t>
      </w:r>
    </w:p>
    <w:p>
      <w:pPr>
        <w:spacing w:after="60" w:before="60" w:line="276"/>
      </w:pPr>
      <w:r>
        <w:rPr>
          <w:rFonts w:ascii="Arial" w:cs="Arial" w:eastAsia="Arial" w:hAnsi="Arial"/>
          <w:color w:val="1B2631"/>
          <w:sz w:val="22"/>
          <w:szCs w:val="22"/>
        </w:rPr>
        <w:t xml:space="preserve">Two qualifications bound the claim. First, the components are individually established; the contribution is their combination and a measured account of how well it works, not a new method. Second, this thesis does not demonstrate that evidence-weighted ranking is better than unweighted ranking, no comparative experiment was performed, and Section 7.3 states this as the principal unaddressed question.</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3: Requirements and Methodology</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3.1 Requirements Elicitation</w:t>
      </w:r>
    </w:p>
    <w:p>
      <w:pPr>
        <w:spacing w:after="60" w:before="60" w:line="276"/>
      </w:pPr>
      <w:r>
        <w:rPr>
          <w:rFonts w:ascii="Arial" w:cs="Arial" w:eastAsia="Arial" w:hAnsi="Arial"/>
          <w:color w:val="1B2631"/>
          <w:sz w:val="22"/>
          <w:szCs w:val="22"/>
        </w:rPr>
        <w:t xml:space="preserve">Requirements were derived from three sources, in order of authority: the project proposal approved by the department, a Product Requirement Document (PRD) written during the design phase, and a feasibility study commissioned before implementation began.</w:t>
      </w:r>
    </w:p>
    <w:p>
      <w:pPr>
        <w:spacing w:after="60" w:before="60" w:line="276"/>
      </w:pPr>
      <w:r>
        <w:rPr>
          <w:rFonts w:ascii="Arial" w:cs="Arial" w:eastAsia="Arial" w:hAnsi="Arial"/>
          <w:color w:val="1B2631"/>
          <w:sz w:val="22"/>
          <w:szCs w:val="22"/>
        </w:rPr>
        <w:t xml:space="preserve">The feasibility study is worth describing because it shaped the scope materially. It assessed each intended component, metadata resolution, PDF parsing, population extraction, citation traversal, graph construction, and judged the difficulty of each independently. Its conclusion on full-text parsing was the decisive one: obtaining legal full text at scale is gated by open-access status rather than by parsing capability, and a pipeline that depends on full text will fail for a large fraction of inputs regardless of how good its parser is. The delivered system reads abstracts only, and Chapter 6 quantifies what that costs.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3.2 Functional Requirements</w:t>
      </w:r>
    </w:p>
    <w:p>
      <w:pPr>
        <w:spacing w:after="60" w:before="60" w:line="276"/>
      </w:pPr>
      <w:r>
        <w:rPr>
          <w:rFonts w:ascii="Arial" w:cs="Arial" w:eastAsia="Arial" w:hAnsi="Arial"/>
          <w:color w:val="1B2631"/>
          <w:sz w:val="22"/>
          <w:szCs w:val="22"/>
        </w:rPr>
        <w:t xml:space="preserve">Requirements are stated in the form the system shall, with a verification method and the section reporting the result.</w:t>
      </w:r>
    </w:p>
    <w:p>
      <w:pPr>
        <w:pStyle w:val="Heading3"/>
        <w:keepNext/>
        <w:spacing w:after="120" w:before="240"/>
      </w:pPr>
      <w:r>
        <w:rPr>
          <w:rFonts w:ascii="Arial" w:cs="Arial" w:eastAsia="Arial" w:hAnsi="Arial"/>
          <w:b w:val="false"/>
          <w:bCs w:val="false"/>
          <w:color w:val="1F784E"/>
          <w:sz w:val="24"/>
          <w:szCs w:val="24"/>
        </w:rPr>
        <w:t xml:space="preserve">3.2.1 Input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Verification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Accept a DOI, PMID, PMCID, free-text title or article URL as the seed identifier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Automated test, §6.2</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Canonicalise all identifiers to a single normalised 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Automated test</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Extract an embedded identifier from an article URL without fetching the page where possible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Automated test, §5.7</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Reject malformed identifiers with a message naming the expected 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Automated test</w:t>
            </w:r>
          </w:p>
        </w:tc>
      </w:tr>
    </w:tbl>
    <w:p>
      <w:pPr>
        <w:spacing w:before="120"/>
      </w:pPr>
      <w:r>
        <w:t xml:space="preserve"/>
      </w:r>
    </w:p>
    <w:p>
      <w:pPr>
        <w:pStyle w:val="Heading3"/>
        <w:keepNext/>
        <w:spacing w:after="120" w:before="240"/>
      </w:pPr>
      <w:r>
        <w:rPr>
          <w:rFonts w:ascii="Arial" w:cs="Arial" w:eastAsia="Arial" w:hAnsi="Arial"/>
          <w:b w:val="false"/>
          <w:bCs w:val="false"/>
          <w:color w:val="1F784E"/>
          <w:sz w:val="24"/>
          <w:szCs w:val="24"/>
        </w:rPr>
        <w:t xml:space="preserve">3.2.2 Metadata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Verification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Query OpenAlex, Crossref and Europe PMC concurrently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Code inspection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Merge provider results with field-level precedence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Code inspection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Record per-provider provenance for each resolved paper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Data inspection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Recover abstracts absent from the primary provider from a secondary provider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§6.3</w:t>
            </w:r>
          </w:p>
        </w:tc>
      </w:tr>
    </w:tbl>
    <w:p>
      <w:pPr>
        <w:spacing w:before="120"/>
      </w:pPr>
      <w:r>
        <w:t xml:space="preserve"/>
      </w:r>
    </w:p>
    <w:p>
      <w:pPr>
        <w:pStyle w:val="Heading3"/>
        <w:keepNext/>
        <w:spacing w:after="120" w:before="240"/>
      </w:pPr>
      <w:r>
        <w:rPr>
          <w:rFonts w:ascii="Arial" w:cs="Arial" w:eastAsia="Arial" w:hAnsi="Arial"/>
          <w:b w:val="false"/>
          <w:bCs w:val="false"/>
          <w:color w:val="1F784E"/>
          <w:sz w:val="24"/>
          <w:szCs w:val="24"/>
        </w:rPr>
        <w:t xml:space="preserve">3.2.3 Citation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Verification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FR-9</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Traverse backward references to a configurable depth (0–3)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Traverse forward citations to a configurable depth (0–2)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§6.5</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FR-11</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Bound the total number of papers per run (1–200)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Automated test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Collapse records describing one work under multiple identifiers onto one node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§6.5</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Emit no edge whose endpoints are not both present as nodes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§6.5</w:t>
            </w:r>
          </w:p>
        </w:tc>
      </w:tr>
    </w:tbl>
    <w:p>
      <w:pPr>
        <w:spacing w:before="120"/>
      </w:pPr>
      <w:r>
        <w:t xml:space="preserve"/>
      </w:r>
    </w:p>
    <w:p>
      <w:pPr>
        <w:pStyle w:val="Heading3"/>
        <w:keepNext/>
        <w:spacing w:after="120" w:before="240"/>
      </w:pPr>
      <w:r>
        <w:rPr>
          <w:rFonts w:ascii="Arial" w:cs="Arial" w:eastAsia="Arial" w:hAnsi="Arial"/>
          <w:b w:val="false"/>
          <w:bCs w:val="false"/>
          <w:color w:val="1F784E"/>
          <w:sz w:val="24"/>
          <w:szCs w:val="24"/>
        </w:rPr>
        <w:t xml:space="preserve">3.2.4 Population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Verification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FR-14</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Extract candidate population sizes from abstract text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§6.4</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Classify each candidate into a semantic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§6.4</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FR-16</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Resolve competing candidates to one effective size per paper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§6.4</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Attach a confidence score and a status of resolved, ambiguous or missing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§6.4</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FR-18</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Not treat years, percentages, p-values or dosages as population sizes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Automated test, §5.5</w:t>
            </w:r>
          </w:p>
        </w:tc>
      </w:tr>
    </w:tbl>
    <w:p>
      <w:pPr>
        <w:spacing w:before="120"/>
      </w:pPr>
      <w:r>
        <w:t xml:space="preserve"/>
      </w:r>
    </w:p>
    <w:p>
      <w:pPr>
        <w:pStyle w:val="Heading3"/>
        <w:keepNext/>
        <w:spacing w:after="120" w:before="240"/>
      </w:pPr>
      <w:r>
        <w:rPr>
          <w:rFonts w:ascii="Arial" w:cs="Arial" w:eastAsia="Arial" w:hAnsi="Arial"/>
          <w:b w:val="false"/>
          <w:bCs w:val="false"/>
          <w:color w:val="1F784E"/>
          <w:sz w:val="24"/>
          <w:szCs w:val="24"/>
        </w:rPr>
        <w:t xml:space="preserve">3.2.5 Weighting, ranking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Verification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FR-19</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Weight each edge by normalised population evidence scaled by confidence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Code inspection, §5.6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Assign a non-zero weight to edges lacking population evidence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Automated test, §5.6</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FR-21</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Rank probable foundational papers over the weighted graph</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Rank citation paths from the seed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Measured, §6.6</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Export results as JSON, CSV, edge-list CSV, Markdown and GraphML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Automated test, §5.8</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Provide a REST API and a web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Deployment, §5.9</w:t>
            </w:r>
          </w:p>
        </w:tc>
      </w:tr>
    </w:tbl>
    <w:p>
      <w:pPr>
        <w:spacing w:before="12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3.3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Result</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NFR-1</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 40-paper run completes within 60 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&lt; 60 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19 s mean, §6.6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 analytics are a minority of runtime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&lt; 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2.5%, §6.6</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Provider failures degrade the run rather than aborting it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unhandled exception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§5.4</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paywalled full text is retrieved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Zero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By construction</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Outbound fetches cannot reach private network addresses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Zero</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§5.7</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Browser access is restricted to a configured origin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Configured origin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§5.9</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NFR-7</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Every reported metric is recomputable from a committed script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Appendix C</w:t>
            </w:r>
          </w:p>
        </w:tc>
      </w:tr>
    </w:tbl>
    <w:p>
      <w:pPr>
        <w:spacing w:before="120"/>
      </w:pPr>
      <w:r>
        <w:t xml:space="preserve"/>
      </w:r>
    </w:p>
    <w:p>
      <w:pPr>
        <w:spacing w:after="60" w:before="60" w:line="276"/>
      </w:pPr>
      <w:r>
        <w:rPr>
          <w:rFonts w:ascii="Arial" w:cs="Arial" w:eastAsia="Arial" w:hAnsi="Arial"/>
          <w:color w:val="1B2631"/>
          <w:sz w:val="22"/>
          <w:szCs w:val="22"/>
        </w:rPr>
        <w:t xml:space="preserve">NFR-7 is a response to a specific failure mode. The project proposal specified an evaluation plan that was never executed, and its absence was not visible because nothing in the repository recorded that the metrics were missing. Making recomputability an explicit requirement means a gap of that kind becomes detectable.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3.4 Development Methodology</w:t>
      </w:r>
    </w:p>
    <w:p>
      <w:pPr>
        <w:pStyle w:val="Heading3"/>
        <w:keepNext/>
        <w:spacing w:after="120" w:before="240"/>
      </w:pPr>
      <w:r>
        <w:rPr>
          <w:rFonts w:ascii="Arial" w:cs="Arial" w:eastAsia="Arial" w:hAnsi="Arial"/>
          <w:b w:val="false"/>
          <w:bCs w:val="false"/>
          <w:color w:val="1F784E"/>
          <w:sz w:val="24"/>
          <w:szCs w:val="24"/>
        </w:rPr>
        <w:t xml:space="preserve">3.4.1 Process</w:t>
      </w:r>
    </w:p>
    <w:p>
      <w:pPr>
        <w:spacing w:after="60" w:before="60" w:line="276"/>
      </w:pPr>
      <w:r>
        <w:rPr>
          <w:rFonts w:ascii="Arial" w:cs="Arial" w:eastAsia="Arial" w:hAnsi="Arial"/>
          <w:color w:val="1B2631"/>
          <w:sz w:val="22"/>
          <w:szCs w:val="22"/>
        </w:rPr>
        <w:t xml:space="preserve">Development followed an iterative build–measure–correct cycle rather than a waterfall. Given a four-person team, a fixed academic deadline and external dependencies whose behaviour was not fully known in advance, planning the system completely before building it was not realistic, a judgement the feasibility study supported.</w:t>
      </w:r>
    </w:p>
    <w:p>
      <w:pPr>
        <w:spacing w:after="60" w:before="60" w:line="276"/>
      </w:pPr>
      <w:r>
        <w:rPr>
          <w:rFonts w:ascii="Arial" w:cs="Arial" w:eastAsia="Arial" w:hAnsi="Arial"/>
          <w:color w:val="1B2631"/>
          <w:sz w:val="22"/>
          <w:szCs w:val="22"/>
        </w:rPr>
        <w:t xml:space="preserve">Each iteration comprised: implement a pipeline stage; write automated tests; run the stage against live scholarly APIs; inspect the output for correctness; correct what the inspection revealed.</w:t>
      </w:r>
    </w:p>
    <w:p>
      <w:pPr>
        <w:spacing w:after="60" w:before="60" w:line="276"/>
      </w:pPr>
      <w:r>
        <w:rPr>
          <w:rFonts w:ascii="Arial" w:cs="Arial" w:eastAsia="Arial" w:hAnsi="Arial"/>
          <w:color w:val="1B2631"/>
          <w:sz w:val="22"/>
          <w:szCs w:val="22"/>
        </w:rPr>
        <w:t xml:space="preserve">The final phase of the project departed from this pattern in a way worth recording, because it produced most of the defects catalogued in Chapter 5. Rather than implementing new features, that phase consisted of instrumenting and measuring the existing system. Eight defects were found. Several had been present since early in development, had passed every test, and had produced output that appeared plausible. Section 5.10 draws the methodological lesson.</w:t>
      </w:r>
    </w:p>
    <w:p>
      <w:pPr>
        <w:pStyle w:val="Heading3"/>
        <w:keepNext/>
        <w:spacing w:after="120" w:before="240"/>
      </w:pPr>
      <w:r>
        <w:rPr>
          <w:rFonts w:ascii="Arial" w:cs="Arial" w:eastAsia="Arial" w:hAnsi="Arial"/>
          <w:b w:val="false"/>
          <w:bCs w:val="false"/>
          <w:color w:val="1F784E"/>
          <w:sz w:val="24"/>
          <w:szCs w:val="24"/>
        </w:rPr>
        <w:t xml:space="preserve">3.4.2 Version control and quality gates</w:t>
      </w:r>
    </w:p>
    <w:p>
      <w:pPr>
        <w:spacing w:after="60" w:before="60" w:line="276"/>
      </w:pPr>
      <w:r>
        <w:rPr>
          <w:rFonts w:ascii="Arial" w:cs="Arial" w:eastAsia="Arial" w:hAnsi="Arial"/>
          <w:color w:val="1B2631"/>
          <w:sz w:val="22"/>
          <w:szCs w:val="22"/>
        </w:rPr>
        <w:t xml:space="preserve">All work is version-controlled in Git with descriptive commits. The test suite comprises 102 automated tests. Continuous integration deploys the backend to a shared host and the frontend to a content delivery network on merge to the main branch.</w:t>
      </w:r>
    </w:p>
    <w:p>
      <w:pPr>
        <w:spacing w:after="60" w:before="60" w:line="276"/>
      </w:pPr>
      <w:r>
        <w:rPr>
          <w:rFonts w:ascii="Arial" w:cs="Arial" w:eastAsia="Arial" w:hAnsi="Arial"/>
          <w:color w:val="1B2631"/>
          <w:sz w:val="22"/>
          <w:szCs w:val="22"/>
        </w:rPr>
        <w:t xml:space="preserve">Two properties of the test suite are worth noting because they bear on Chapter</w:t>
      </w:r>
    </w:p>
    <w:p>
      <w:pPr>
        <w:pStyle w:val="ListParagraph"/>
        <w:numPr>
          <w:ilvl w:val="0"/>
          <w:numId w:val="16"/>
        </w:numPr>
        <w:spacing w:after="20" w:before="20" w:line="276"/>
      </w:pPr>
      <w:r>
        <w:rPr>
          <w:rFonts w:ascii="Arial" w:cs="Arial" w:eastAsia="Arial" w:hAnsi="Arial"/>
          <w:color w:val="1B2631"/>
          <w:sz w:val="22"/>
          <w:szCs w:val="22"/>
        </w:rPr>
        <w:t xml:space="preserve">First, the suite passed in full throughout the period in which the traversal</w:t>
      </w:r>
    </w:p>
    <w:p>
      <w:pPr>
        <w:spacing w:after="60" w:before="60" w:line="276"/>
      </w:pPr>
      <w:r>
        <w:rPr>
          <w:rFonts w:ascii="Arial" w:cs="Arial" w:eastAsia="Arial" w:hAnsi="Arial"/>
          <w:color w:val="1B2631"/>
          <w:sz w:val="22"/>
          <w:szCs w:val="22"/>
        </w:rPr>
        <w:t xml:space="preserve">defect described in Section 5.3 was discarding the majority of every graph; the tests asserted that the pipeline completed and returned a structure of the right shape, not that the structure was correct. Second, two defects in the test suite itself were found, one hung the entire suite indefinitely, and one masked a failure on the database read path. A test suite is software and is subject to the same defects as the system it tests.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3.5 Evaluation Strategy</w:t>
      </w:r>
    </w:p>
    <w:p>
      <w:pPr>
        <w:pStyle w:val="Heading3"/>
        <w:keepNext/>
        <w:spacing w:after="120" w:before="240"/>
      </w:pPr>
      <w:r>
        <w:rPr>
          <w:rFonts w:ascii="Arial" w:cs="Arial" w:eastAsia="Arial" w:hAnsi="Arial"/>
          <w:b w:val="false"/>
          <w:bCs w:val="false"/>
          <w:color w:val="1F784E"/>
          <w:sz w:val="24"/>
          <w:szCs w:val="24"/>
        </w:rPr>
        <w:t xml:space="preserve">3.5.1 Evaluation design</w:t>
      </w:r>
    </w:p>
    <w:p>
      <w:pPr>
        <w:spacing w:after="60" w:before="60" w:line="276"/>
      </w:pPr>
      <w:r>
        <w:rPr>
          <w:rFonts w:ascii="Arial" w:cs="Arial" w:eastAsia="Arial" w:hAnsi="Arial"/>
          <w:color w:val="1B2631"/>
          <w:sz w:val="22"/>
          <w:szCs w:val="22"/>
        </w:rPr>
        <w:t xml:space="preserve">Evaluation follows the module structure of the proposal's evaluation plan: metadata resolution, population extraction, citation graph construction, and ranking. Each is evaluated against a measurable criterion where one exists, and reported as unmeasured where one does not.</w:t>
      </w:r>
    </w:p>
    <w:p>
      <w:pPr>
        <w:pStyle w:val="Heading3"/>
        <w:keepNext/>
        <w:spacing w:after="120" w:before="240"/>
      </w:pPr>
      <w:r>
        <w:rPr>
          <w:rFonts w:ascii="Arial" w:cs="Arial" w:eastAsia="Arial" w:hAnsi="Arial"/>
          <w:b w:val="false"/>
          <w:bCs w:val="false"/>
          <w:color w:val="1F784E"/>
          <w:sz w:val="24"/>
          <w:szCs w:val="24"/>
        </w:rPr>
        <w:t xml:space="preserve">3.5.2 Gold standard construction</w:t>
      </w:r>
    </w:p>
    <w:p>
      <w:pPr>
        <w:spacing w:after="60" w:before="60" w:line="276"/>
      </w:pPr>
      <w:r>
        <w:rPr>
          <w:rFonts w:ascii="Arial" w:cs="Arial" w:eastAsia="Arial" w:hAnsi="Arial"/>
          <w:color w:val="1B2631"/>
          <w:sz w:val="22"/>
          <w:szCs w:val="22"/>
        </w:rPr>
        <w:t xml:space="preserve">Population extraction is evaluated against a hand-annotated gold standard of 20 papers. The construction protocol is:</w:t>
      </w:r>
    </w:p>
    <w:p>
      <w:pPr>
        <w:pStyle w:val="ListParagraph"/>
        <w:numPr>
          <w:ilvl w:val="0"/>
          <w:numId w:val="17"/>
        </w:numPr>
        <w:spacing w:after="20" w:before="20" w:line="276"/>
      </w:pPr>
      <w:r>
        <w:rPr>
          <w:rFonts w:ascii="Arial" w:cs="Arial" w:eastAsia="Arial" w:hAnsi="Arial"/>
          <w:color w:val="1B2631"/>
          <w:sz w:val="22"/>
          <w:szCs w:val="22"/>
        </w:rPr>
        <w:t xml:space="preserve">Select papers spanning study designs, randomised trials, cohort studies, case series, epidemiological analyses, modelling studies, plus negatives: reviews, guidelines, and computational papers with no human subjects. 2. Retrieve the abstract through the same providers the pipeline uses. 3. Read each abstract and record the effective population size, defined as the total number of human subjects the paper's primary analysis rests on as stated in the abstract. 4. Record the supporting sentence verbatim so every label is auditable. 5. Where no human study population is stated, label the paper negative; the correct system behaviour is to extract nothing.</w:t>
      </w:r>
    </w:p>
    <w:p>
      <w:pPr>
        <w:spacing w:after="60" w:before="60" w:line="276"/>
      </w:pPr>
      <w:r>
        <w:rPr>
          <w:rFonts w:ascii="Arial" w:cs="Arial" w:eastAsia="Arial" w:hAnsi="Arial"/>
          <w:color w:val="1B2631"/>
          <w:sz w:val="22"/>
          <w:szCs w:val="22"/>
        </w:rPr>
        <w:t xml:space="preserve">Nine of the twenty are negatives, and several are hard negatives whose abstracts contain large, salient numbers that are not study populations: an epidemic case tally of 2,794 laboratory-confirmed infections, an ImageNet dataset size of 1.2 million images, and a systematic review whose units are studies rather than patients. Including these is a deliberate design choice, a positives-only gold set cannot measure false positives, and false positives are the failure mode that most damages user trust.</w:t>
      </w:r>
    </w:p>
    <w:p>
      <w:pPr>
        <w:pStyle w:val="Heading3"/>
        <w:keepNext/>
        <w:spacing w:after="120" w:before="240"/>
      </w:pPr>
      <w:r>
        <w:rPr>
          <w:rFonts w:ascii="Arial" w:cs="Arial" w:eastAsia="Arial" w:hAnsi="Arial"/>
          <w:b w:val="false"/>
          <w:bCs w:val="false"/>
          <w:color w:val="1F784E"/>
          <w:sz w:val="24"/>
          <w:szCs w:val="24"/>
        </w:rPr>
        <w:t xml:space="preserve">3.5.3 Statistical treatment</w:t>
      </w:r>
    </w:p>
    <w:p>
      <w:pPr>
        <w:spacing w:after="60" w:before="60" w:line="276"/>
      </w:pPr>
      <w:r>
        <w:rPr>
          <w:rFonts w:ascii="Arial" w:cs="Arial" w:eastAsia="Arial" w:hAnsi="Arial"/>
          <w:color w:val="1B2631"/>
          <w:sz w:val="22"/>
          <w:szCs w:val="22"/>
        </w:rPr>
        <w:t xml:space="preserve">Proportions are reported with 95% Wilson score intervals. The Wilson interval is used rather than the normal approximation because the sample is small (n = 20 overall, n = 11 positives), where the normal approximation is unreliable and degenerates entirely at proportions of 0 or 1.</w:t>
      </w:r>
    </w:p>
    <w:p>
      <w:pPr>
        <w:spacing w:after="60" w:before="60" w:line="276"/>
      </w:pPr>
      <w:r>
        <w:rPr>
          <w:rFonts w:ascii="Arial" w:cs="Arial" w:eastAsia="Arial" w:hAnsi="Arial"/>
          <w:color w:val="1B2631"/>
          <w:sz w:val="22"/>
          <w:szCs w:val="22"/>
        </w:rPr>
        <w:t xml:space="preserve">The intervals are wide, and Chapter 6 reports them alongside every point estimate rather than quoting point estimates alone. A recall of 1.000 on eleven positives is consistent with a true recall as low as roughly 0.74.</w:t>
      </w:r>
    </w:p>
    <w:p>
      <w:pPr>
        <w:pStyle w:val="Heading3"/>
        <w:keepNext/>
        <w:spacing w:after="120" w:before="240"/>
      </w:pPr>
      <w:r>
        <w:rPr>
          <w:rFonts w:ascii="Arial" w:cs="Arial" w:eastAsia="Arial" w:hAnsi="Arial"/>
          <w:b w:val="false"/>
          <w:bCs w:val="false"/>
          <w:color w:val="1F784E"/>
          <w:sz w:val="24"/>
          <w:szCs w:val="24"/>
        </w:rPr>
        <w:t xml:space="preserve">3.5.4 Acknowledged limitations of the evaluation</w:t>
      </w:r>
    </w:p>
    <w:p>
      <w:pPr>
        <w:spacing w:after="60" w:before="60" w:line="276"/>
      </w:pPr>
      <w:r>
        <w:rPr>
          <w:rFonts w:ascii="Arial" w:cs="Arial" w:eastAsia="Arial" w:hAnsi="Arial"/>
          <w:color w:val="1B2631"/>
          <w:sz w:val="22"/>
          <w:szCs w:val="22"/>
        </w:rPr>
        <w:t xml:space="preserve">Four limitations are stated in advance because they bound every result in Chapter 6.</w:t>
      </w:r>
    </w:p>
    <w:p>
      <w:pPr>
        <w:pStyle w:val="ListParagraph"/>
        <w:numPr>
          <w:ilvl w:val="0"/>
          <w:numId w:val="3"/>
        </w:numPr>
        <w:spacing w:after="20" w:before="20" w:line="276"/>
      </w:pPr>
      <w:r>
        <w:rPr>
          <w:rFonts w:ascii="Arial" w:cs="Arial" w:eastAsia="Arial" w:hAnsi="Arial"/>
          <w:color w:val="1B2631"/>
          <w:sz w:val="22"/>
          <w:szCs w:val="22"/>
        </w:rPr>
        <w:t xml:space="preserve">Single annotator. The gold standard was annotated by one person, who is</w:t>
      </w:r>
    </w:p>
    <w:p>
      <w:pPr>
        <w:spacing w:after="60" w:before="60" w:line="276"/>
      </w:pPr>
      <w:r>
        <w:rPr>
          <w:rFonts w:ascii="Arial" w:cs="Arial" w:eastAsia="Arial" w:hAnsi="Arial"/>
          <w:color w:val="1B2631"/>
          <w:sz w:val="22"/>
          <w:szCs w:val="22"/>
        </w:rPr>
        <w:t xml:space="preserve">also an author of the system. No inter-annotator agreement was measured. This is the most serious limitation; Section 7.3 discusses it.</w:t>
      </w:r>
    </w:p>
    <w:p>
      <w:pPr>
        <w:pStyle w:val="ListParagraph"/>
        <w:numPr>
          <w:ilvl w:val="0"/>
          <w:numId w:val="3"/>
        </w:numPr>
        <w:spacing w:after="20" w:before="20" w:line="276"/>
      </w:pPr>
      <w:r>
        <w:rPr>
          <w:rFonts w:ascii="Arial" w:cs="Arial" w:eastAsia="Arial" w:hAnsi="Arial"/>
          <w:color w:val="1B2631"/>
          <w:sz w:val="22"/>
          <w:szCs w:val="22"/>
        </w:rPr>
        <w:t xml:space="preserve">Small sample. Twenty papers, eleven positive. Interval estimates are</w:t>
      </w:r>
    </w:p>
    <w:p>
      <w:pPr>
        <w:spacing w:after="60" w:before="60" w:line="276"/>
      </w:pPr>
      <w:r>
        <w:rPr>
          <w:rFonts w:ascii="Arial" w:cs="Arial" w:eastAsia="Arial" w:hAnsi="Arial"/>
          <w:color w:val="1B2631"/>
          <w:sz w:val="22"/>
          <w:szCs w:val="22"/>
        </w:rPr>
        <w:t xml:space="preserve">correspondingly wide.</w:t>
      </w:r>
    </w:p>
    <w:p>
      <w:pPr>
        <w:pStyle w:val="ListParagraph"/>
        <w:numPr>
          <w:ilvl w:val="0"/>
          <w:numId w:val="3"/>
        </w:numPr>
        <w:spacing w:after="20" w:before="20" w:line="276"/>
      </w:pPr>
      <w:r>
        <w:rPr>
          <w:rFonts w:ascii="Arial" w:cs="Arial" w:eastAsia="Arial" w:hAnsi="Arial"/>
          <w:color w:val="1B2631"/>
          <w:sz w:val="22"/>
          <w:szCs w:val="22"/>
        </w:rPr>
        <w:t xml:space="preserve">Abstracts only. Sample sizes stated solely in a full-text Methods section</w:t>
      </w:r>
    </w:p>
    <w:p>
      <w:pPr>
        <w:spacing w:after="60" w:before="60" w:line="276"/>
      </w:pPr>
      <w:r>
        <w:rPr>
          <w:rFonts w:ascii="Arial" w:cs="Arial" w:eastAsia="Arial" w:hAnsi="Arial"/>
          <w:color w:val="1B2631"/>
          <w:sz w:val="22"/>
          <w:szCs w:val="22"/>
        </w:rPr>
        <w:t xml:space="preserve">are out of scope. This matches what the pipeline reads, so the evaluation is fair to the system as built, but it does not measure the task in general.</w:t>
      </w:r>
    </w:p>
    <w:p>
      <w:pPr>
        <w:pStyle w:val="ListParagraph"/>
        <w:numPr>
          <w:ilvl w:val="0"/>
          <w:numId w:val="3"/>
        </w:numPr>
        <w:spacing w:after="20" w:before="20" w:line="276"/>
      </w:pPr>
      <w:r>
        <w:rPr>
          <w:rFonts w:ascii="Arial" w:cs="Arial" w:eastAsia="Arial" w:hAnsi="Arial"/>
          <w:color w:val="1B2631"/>
          <w:sz w:val="22"/>
          <w:szCs w:val="22"/>
        </w:rPr>
        <w:t xml:space="preserve">Domain concentration. The positives are biomedical. Performance on other</w:t>
      </w:r>
    </w:p>
    <w:p>
      <w:pPr>
        <w:spacing w:after="60" w:before="60" w:line="276"/>
      </w:pPr>
      <w:r>
        <w:rPr>
          <w:rFonts w:ascii="Arial" w:cs="Arial" w:eastAsia="Arial" w:hAnsi="Arial"/>
          <w:color w:val="1B2631"/>
          <w:sz w:val="22"/>
          <w:szCs w:val="22"/>
        </w:rPr>
        <w:t xml:space="preserve">literatures is not measured and should not be assumed.</w:t>
      </w:r>
    </w:p>
    <w:p>
      <w:pPr>
        <w:pStyle w:val="Heading3"/>
        <w:keepNext/>
        <w:spacing w:after="120" w:before="240"/>
      </w:pPr>
      <w:r>
        <w:rPr>
          <w:rFonts w:ascii="Arial" w:cs="Arial" w:eastAsia="Arial" w:hAnsi="Arial"/>
          <w:b w:val="false"/>
          <w:bCs w:val="false"/>
          <w:color w:val="1F784E"/>
          <w:sz w:val="24"/>
          <w:szCs w:val="24"/>
        </w:rPr>
        <w:t xml:space="preserve">3.5.5 What is not evaluated</w:t>
      </w:r>
    </w:p>
    <w:p>
      <w:pPr>
        <w:spacing w:after="60" w:before="60" w:line="276"/>
      </w:pPr>
      <w:r>
        <w:rPr>
          <w:rFonts w:ascii="Arial" w:cs="Arial" w:eastAsia="Arial" w:hAnsi="Arial"/>
          <w:color w:val="1B2631"/>
          <w:sz w:val="22"/>
          <w:szCs w:val="22"/>
        </w:rPr>
        <w:t xml:space="preserve">Two things the proposal listed are not evaluated, and are reported as gaps rather than passed over.</w:t>
      </w:r>
    </w:p>
    <w:p>
      <w:pPr>
        <w:spacing w:after="60" w:before="60" w:line="276"/>
      </w:pPr>
      <w:r>
        <w:rPr>
          <w:rFonts w:ascii="Arial" w:cs="Arial" w:eastAsia="Arial" w:hAnsi="Arial"/>
          <w:color w:val="1B2631"/>
          <w:sz w:val="22"/>
          <w:szCs w:val="22"/>
        </w:rPr>
        <w:t xml:space="preserve">Ranking quality. No relevance judgement study was conducted. The proposal proposed "manual inspection of selected papers", which is not a metric. Section 6.5 reports a qualitative observation and Section 7.3 records the absence of a formal ranking evaluation as an unaddressed threat.</w:t>
      </w:r>
    </w:p>
    <w:p>
      <w:pPr>
        <w:spacing w:after="60" w:before="60" w:line="276"/>
      </w:pPr>
      <w:r>
        <w:rPr>
          <w:rFonts w:ascii="Arial" w:cs="Arial" w:eastAsia="Arial" w:hAnsi="Arial"/>
          <w:color w:val="1B2631"/>
          <w:sz w:val="22"/>
          <w:szCs w:val="22"/>
        </w:rPr>
        <w:t xml:space="preserve">Duplicate detection accuracy. Duplicate merging is measured by counting merges performed and verifying no duplicate survives in the output, but no gold standard of known duplicate pairs was constructed, so precision of the merge decision is unmeasured. A merge that incorrectly collapses two distinct papers would not be detected by the present measurement.</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3 (continued): Project Management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3.6 Team Organisation</w:t>
      </w:r>
    </w:p>
    <w:p>
      <w:pPr>
        <w:spacing w:after="60" w:before="60" w:line="276"/>
      </w:pPr>
      <w:r>
        <w:rPr>
          <w:rFonts w:ascii="Arial" w:cs="Arial" w:eastAsia="Arial" w:hAnsi="Arial"/>
          <w:color w:val="1B2631"/>
          <w:sz w:val="22"/>
          <w:szCs w:val="22"/>
        </w:rPr>
        <w:t xml:space="preserve">Four members worked across a pipeline that decomposes naturally into independent modules with narrow interfaces. Ownership was assigned by module so that two people rarely edited the same file, with review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Area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Primary responsibility</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Provider layer, metadata resolution, identifier canonicalisation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Retrieval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Citation traversal, graph construction, analytics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Population extraction, resolution, pattern design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NLP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API, dashboard, deployment, CI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Delivery</w:t>
            </w:r>
          </w:p>
        </w:tc>
      </w:tr>
    </w:tbl>
    <w:p>
      <w:pPr>
        <w:spacing w:before="120"/>
      </w:pPr>
      <w:r>
        <w:t xml:space="preserve"/>
      </w:r>
    </w:p>
    <w:p>
      <w:pPr>
        <w:spacing w:after="60" w:before="60" w:line="276"/>
      </w:pPr>
      <w:r>
        <w:rPr>
          <w:rFonts w:ascii="Arial" w:cs="Arial" w:eastAsia="Arial" w:hAnsi="Arial"/>
          <w:color w:val="1B2631"/>
          <w:sz w:val="22"/>
          <w:szCs w:val="22"/>
        </w:rPr>
        <w:t xml:space="preserve">The module boundaries described in Chapter 4 were as much a coordination mechanism as an architectural one. Because the provider layer exposes a fixed ProviderResult contract, the retrieval and graph work proceeded in parallel against a stub; because the extractor consumes plain text and emits candidates, the NLP work was testable without a working traversal.</w:t>
      </w:r>
    </w:p>
    <w:p>
      <w:pPr>
        <w:spacing w:after="60" w:before="60" w:line="276"/>
      </w:pPr>
      <w:r>
        <w:rPr>
          <w:rFonts w:ascii="Arial" w:cs="Arial" w:eastAsia="Arial" w:hAnsi="Arial"/>
          <w:color w:val="1B2631"/>
          <w:sz w:val="22"/>
          <w:szCs w:val="22"/>
        </w:rPr>
        <w:t xml:space="preserve">This had a cost that Chapter 5 makes visible. Clean interfaces let each module be tested in isolation, and each module was correct in isolation. The traversal defect (Section 5.3) lived precisely at the seam, the traversal correctly asked the resolver for a paper, and the resolver correctly rejected an identifier it was never designed to receive. Both sides behaved as specified. Interface-level correctness does not compose into system-level correctness, and nothing in the division of labour was positioned to notice.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3.7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Focus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Outcome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Proposal and feasibility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Scope definition; feasibility assessment of each component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Full-text parsing descoped; abstract-only pipeline adopted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PRD, data models, architecture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Module contracts fixed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Core implementation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Providers, resolver, traversal, extractor, graph</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End-to-end pipeline producing output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Interface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REST API, React dashboard, exports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System usable by a non-author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Deployment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Containerisation, CI, hosting, TLS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Publicly reachable instance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Measurement and correction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Instrumentation, evaluation harness, defect resolution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Eight defects found; evaluation plan implemented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Documentation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Thesis, reproducibility artifacts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This document</w:t>
            </w:r>
          </w:p>
        </w:tc>
      </w:tr>
    </w:tbl>
    <w:p>
      <w:pPr>
        <w:spacing w:before="120"/>
      </w:pPr>
      <w:r>
        <w:t xml:space="preserve"/>
      </w:r>
    </w:p>
    <w:p>
      <w:pPr>
        <w:spacing w:after="60" w:before="60" w:line="276"/>
      </w:pPr>
      <w:r>
        <w:rPr>
          <w:rFonts w:ascii="Arial" w:cs="Arial" w:eastAsia="Arial" w:hAnsi="Arial"/>
          <w:color w:val="1B2631"/>
          <w:sz w:val="22"/>
          <w:szCs w:val="22"/>
        </w:rPr>
        <w:t xml:space="preserve">The final phase is the one worth commentary. It was originally scoped as "testing and documentation", a wrap-up phase. It became the phase in which most of the project's substantive faults were found, because it was the first time the system was measured rather than exercised.</w:t>
      </w:r>
    </w:p>
    <w:p>
      <w:pPr>
        <w:spacing w:after="60" w:before="60" w:line="276"/>
      </w:pPr>
      <w:r>
        <w:rPr>
          <w:rFonts w:ascii="Arial" w:cs="Arial" w:eastAsia="Arial" w:hAnsi="Arial"/>
          <w:color w:val="1B2631"/>
          <w:sz w:val="22"/>
          <w:szCs w:val="22"/>
        </w:rPr>
        <w:t xml:space="preserve">Had the evaluation harness been built when the proposal specified it, the same defects would have surfaced months earlier and at lower cost. The empty evaluation/ directory was, in retrospect, the single most informative artifact in the repository, and nobody read it as a warning.</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3.8 Risk Management</w:t>
      </w:r>
    </w:p>
    <w:p>
      <w:pPr>
        <w:spacing w:after="60" w:before="60" w:line="276"/>
      </w:pPr>
      <w:r>
        <w:rPr>
          <w:rFonts w:ascii="Arial" w:cs="Arial" w:eastAsia="Arial" w:hAnsi="Arial"/>
          <w:color w:val="1B2631"/>
          <w:sz w:val="22"/>
          <w:szCs w:val="22"/>
        </w:rPr>
        <w:t xml:space="preserve">Risks identified during planning, with what actually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Risk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Planned mitigation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Outcome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Scholarly APIs rate-limit or block the client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Honour polite-pool conventions; identify the caller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Did not materialise. Polite-pool identification also improved latency (§C.1)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Reference-list coverage is incomplete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Query several providers and merge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Materialised, worse than expected. Crossref holds no reference list for many works; the mitigation was necessary rather than precautionary (§5.3)</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Full-text access is legally constrained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Restrict to abstracts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Materialised as predicted by the feasibility study; abstract-only scope adopted from the outset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Population extraction is too inaccurate to be useful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Pattern-based approach with confidence scoring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Partially materialised: detection is strong, type classification and confidence calibration are not (§6.4)</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 single provider becomes unavailable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Provider toggles; degrade rather than abort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Not triggered in practice; the degradation path is implemented and tested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 algorithms do not 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Bound the graph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Over-mitigated. Analytics are 2.5% of runtime (§6.6.1); the real cost was network I/O</w:t>
            </w:r>
          </w:p>
        </w:tc>
      </w:tr>
    </w:tbl>
    <w:p>
      <w:pPr>
        <w:spacing w:before="120"/>
      </w:pPr>
      <w:r>
        <w:t xml:space="preserve"/>
      </w:r>
    </w:p>
    <w:p>
      <w:pPr>
        <w:spacing w:after="60" w:before="60" w:line="276"/>
      </w:pPr>
      <w:r>
        <w:rPr>
          <w:rFonts w:ascii="Arial" w:cs="Arial" w:eastAsia="Arial" w:hAnsi="Arial"/>
          <w:color w:val="1B2631"/>
          <w:sz w:val="22"/>
          <w:szCs w:val="22"/>
        </w:rPr>
        <w:t xml:space="preserve">Two risks were not on the register and caused more disruption than those that were:</w:t>
      </w:r>
    </w:p>
    <w:p>
      <w:pPr>
        <w:spacing w:after="60" w:before="60" w:line="276"/>
      </w:pPr>
      <w:r>
        <w:rPr>
          <w:rFonts w:ascii="Arial" w:cs="Arial" w:eastAsia="Arial" w:hAnsi="Arial"/>
          <w:color w:val="1B2631"/>
          <w:sz w:val="22"/>
          <w:szCs w:val="22"/>
        </w:rPr>
        <w:t xml:space="preserve">Silent data loss inside the pipeline. No risk entry anticipated that the system might run to completion while discarding most of its input. The register was oriented toward external failures, APIs down, rate limits, legal limits, and assumed internal correctness would follow from testing.</w:t>
      </w:r>
    </w:p>
    <w:p>
      <w:pPr>
        <w:spacing w:after="60" w:before="60" w:line="276"/>
      </w:pPr>
      <w:r>
        <w:rPr>
          <w:rFonts w:ascii="Arial" w:cs="Arial" w:eastAsia="Arial" w:hAnsi="Arial"/>
          <w:color w:val="1B2631"/>
          <w:sz w:val="22"/>
          <w:szCs w:val="22"/>
        </w:rPr>
        <w:t xml:space="preserve">A test suite that passes while the system is wrong. The plan treated tests as the verification mechanism. Section 5.10 and Appendix F.4 record why that was insufficient for a system whose output is a ranked list.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3.9 Tools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Version control</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Git / GitHub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Continuous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GitHub Actions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Backend hosting</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Docker on a shared Linux host, nginx, Let's Encrypt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Frontend hosting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Cloudflare Pages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Run persistence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SQLite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pytest, pytest-asyncio, respx</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Documentation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Markdown; Pandoc for rendering</w:t>
            </w:r>
          </w:p>
        </w:tc>
      </w:tr>
    </w:tbl>
    <w:p>
      <w:pPr>
        <w:spacing w:before="120"/>
      </w:pPr>
      <w:r>
        <w:t xml:space="preserve"/>
      </w:r>
    </w:p>
    <w:p>
      <w:pPr>
        <w:spacing w:after="60" w:before="60" w:line="276"/>
      </w:pPr>
      <w:r>
        <w:rPr>
          <w:rFonts w:ascii="Arial" w:cs="Arial" w:eastAsia="Arial" w:hAnsi="Arial"/>
          <w:color w:val="1B2631"/>
          <w:sz w:val="22"/>
          <w:szCs w:val="22"/>
        </w:rPr>
        <w:t xml:space="preserve">Deployment is automated from the main branch: backend changes rebuild the container and restart it behind nginx; frontend changes rebuild the static bundle and publish it. The backend container binds the loopback interface only, because the host is shared with unrelated services, a constraint that produced its own defect, recorded in Section 5.9.</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3.10 Lessons for Process</w:t>
      </w:r>
    </w:p>
    <w:p>
      <w:pPr>
        <w:spacing w:after="60" w:before="60" w:line="276"/>
      </w:pPr>
      <w:r>
        <w:rPr>
          <w:rFonts w:ascii="Arial" w:cs="Arial" w:eastAsia="Arial" w:hAnsi="Arial"/>
          <w:color w:val="1B2631"/>
          <w:sz w:val="22"/>
          <w:szCs w:val="22"/>
        </w:rPr>
        <w:t xml:space="preserve">Three conclusions the team would carry forward.</w:t>
      </w:r>
    </w:p>
    <w:p>
      <w:pPr>
        <w:spacing w:after="60" w:before="60" w:line="276"/>
      </w:pPr>
      <w:r>
        <w:rPr>
          <w:rFonts w:ascii="Arial" w:cs="Arial" w:eastAsia="Arial" w:hAnsi="Arial"/>
          <w:color w:val="1B2631"/>
          <w:sz w:val="22"/>
          <w:szCs w:val="22"/>
        </w:rPr>
        <w:t xml:space="preserve">Build the measurement harness with the first module, not after the last. The evaluation plan existed from the proposal. Deferring it deferred all the information it would have produced.</w:t>
      </w:r>
    </w:p>
    <w:p>
      <w:pPr>
        <w:spacing w:after="60" w:before="60" w:line="276"/>
      </w:pPr>
      <w:r>
        <w:rPr>
          <w:rFonts w:ascii="Arial" w:cs="Arial" w:eastAsia="Arial" w:hAnsi="Arial"/>
          <w:color w:val="1B2631"/>
          <w:sz w:val="22"/>
          <w:szCs w:val="22"/>
        </w:rPr>
        <w:t xml:space="preserve">Prefer measurements over assertions for pipelines. A test that a stage returns the right shape is cheap and weak. A measurement compares a stage's output against a quantity known independently: how many references the provider reported, or what a human read in the abstract. That costs more to build and is far stronger.</w:t>
      </w:r>
    </w:p>
    <w:p>
      <w:pPr>
        <w:spacing w:after="60" w:before="60" w:line="276"/>
      </w:pPr>
      <w:r>
        <w:rPr>
          <w:rFonts w:ascii="Arial" w:cs="Arial" w:eastAsia="Arial" w:hAnsi="Arial"/>
          <w:color w:val="1B2631"/>
          <w:sz w:val="22"/>
          <w:szCs w:val="22"/>
        </w:rPr>
        <w:t xml:space="preserve">Treat silence as suspicious. Every defect in Chapter 5 was silent: a warning-level log, an HTTP 200 with an empty result, a falsy value coerced to a default. A pipeline stage that never reports anything is not necessarily a stage that never has anything to report.</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4: System Design and Architecture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4.1 Architectural Overview</w:t>
      </w:r>
    </w:p>
    <w:p>
      <w:pPr>
        <w:spacing w:after="60" w:before="60" w:line="276"/>
      </w:pPr>
      <w:r>
        <w:rPr>
          <w:rFonts w:ascii="Arial" w:cs="Arial" w:eastAsia="Arial" w:hAnsi="Arial"/>
          <w:color w:val="1B2631"/>
          <w:sz w:val="22"/>
          <w:szCs w:val="22"/>
        </w:rPr>
        <w:t xml:space="preserve">The system is a layered pipeline. A request enters at the API layer, passes through nine processing stages, and produces a persisted result that is read back by the dashboard and the export endpoints.</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Browser ────────▶│  React SPA (Cloudflare Pages)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HTTPS / JSON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FastAPI  ·  REST + background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jobs  ·  optional API-key gate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Pipeline Orchestrator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             ▼             ▼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  ┌──────────┐  ┌─────────┐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Input  │  │ Metadata  │  │ Citation │  │   NLP   │  │   Graph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Normal. │  │ Resolver  │  │ Traversal│  │ Extract │  │ Analytics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  └────┬─────┘  └─────────┘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Provider Layer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OpenAlex · Crossref ·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Europe PMC (pooled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HTTP client)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SQLite run persistence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p>
    <w:p>
      <w:pPr>
        <w:pStyle w:val="Heading3"/>
        <w:keepNext/>
        <w:spacing w:after="120" w:before="240"/>
      </w:pPr>
      <w:r>
        <w:rPr>
          <w:rFonts w:ascii="Arial" w:cs="Arial" w:eastAsia="Arial" w:hAnsi="Arial"/>
          <w:b w:val="false"/>
          <w:bCs w:val="false"/>
          <w:color w:val="1F784E"/>
          <w:sz w:val="24"/>
          <w:szCs w:val="24"/>
        </w:rPr>
        <w:t xml:space="preserve">4.1.1 Design principles</w:t>
      </w:r>
    </w:p>
    <w:p>
      <w:pPr>
        <w:spacing w:after="60" w:before="60" w:line="276"/>
      </w:pPr>
      <w:r>
        <w:rPr>
          <w:rFonts w:ascii="Arial" w:cs="Arial" w:eastAsia="Arial" w:hAnsi="Arial"/>
          <w:color w:val="1B2631"/>
          <w:sz w:val="22"/>
          <w:szCs w:val="22"/>
        </w:rPr>
        <w:t xml:space="preserve">Separation of retrieval from interpretation. The provider layer knows how to talk to external APIs and nothing about population extraction or graph analysis. This allowed the Europe PMC abstract backfill described in Section 4.4.3 to be added as a pipeline stage without modifying either the traversal or the extractor.</w:t>
      </w:r>
    </w:p>
    <w:p>
      <w:pPr>
        <w:spacing w:after="60" w:before="60" w:line="276"/>
      </w:pPr>
      <w:r>
        <w:rPr>
          <w:rFonts w:ascii="Arial" w:cs="Arial" w:eastAsia="Arial" w:hAnsi="Arial"/>
          <w:color w:val="1B2631"/>
          <w:sz w:val="22"/>
          <w:szCs w:val="22"/>
        </w:rPr>
        <w:t xml:space="preserve">Explicit uncertainty. Every population resolution carries a confidence and a status. Uncertainty is a first-class field in the data model rather than something inferred from a missing value, because "no population found" and "population found but ambiguous" are different states that a reader must be able to distinguish.</w:t>
      </w:r>
    </w:p>
    <w:p>
      <w:pPr>
        <w:spacing w:after="60" w:before="60" w:line="276"/>
      </w:pPr>
      <w:r>
        <w:rPr>
          <w:rFonts w:ascii="Arial" w:cs="Arial" w:eastAsia="Arial" w:hAnsi="Arial"/>
          <w:color w:val="1B2631"/>
          <w:sz w:val="22"/>
          <w:szCs w:val="22"/>
        </w:rPr>
        <w:t xml:space="preserve">Bounded work. Every stage operates under an explicit budget. The citation graph is unbounded in principle, so traversal is limited by depth and by total paper count, and path enumeration is limited by a cap on paths examined. A stage that could run unboundedly is a stage that will eventually hang.</w:t>
      </w:r>
    </w:p>
    <w:p>
      <w:pPr>
        <w:spacing w:after="60" w:before="60" w:line="276"/>
      </w:pPr>
      <w:r>
        <w:rPr>
          <w:rFonts w:ascii="Arial" w:cs="Arial" w:eastAsia="Arial" w:hAnsi="Arial"/>
          <w:color w:val="1B2631"/>
          <w:sz w:val="22"/>
          <w:szCs w:val="22"/>
        </w:rPr>
        <w:t xml:space="preserve">Degradation rather than failure. A provider that fails degrades the result instead of aborting the run. A paper whose abstract cannot be retrieved still appears as a node; its edges simply carry no evidential term.</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4.2 Data Model</w:t>
      </w:r>
    </w:p>
    <w:p>
      <w:pPr>
        <w:spacing w:after="60" w:before="60" w:line="276"/>
      </w:pPr>
      <w:r>
        <w:rPr>
          <w:rFonts w:ascii="Arial" w:cs="Arial" w:eastAsia="Arial" w:hAnsi="Arial"/>
          <w:color w:val="1B2631"/>
          <w:sz w:val="22"/>
          <w:szCs w:val="22"/>
        </w:rPr>
        <w:t xml:space="preserve">Five entities, defined as Pydantic models so that validation happens at construction.</w:t>
      </w:r>
    </w:p>
    <w:p>
      <w:pPr>
        <w:pStyle w:val="Heading3"/>
        <w:keepNext/>
        <w:spacing w:after="120" w:before="240"/>
      </w:pPr>
      <w:r>
        <w:rPr>
          <w:rFonts w:ascii="Arial" w:cs="Arial" w:eastAsia="Arial" w:hAnsi="Arial"/>
          <w:b w:val="false"/>
          <w:bCs w:val="false"/>
          <w:color w:val="1F784E"/>
          <w:sz w:val="24"/>
          <w:szCs w:val="24"/>
        </w:rPr>
        <w:t xml:space="preserve">4.2.1 Paper</w:t>
      </w:r>
    </w:p>
    <w:p>
      <w:pPr>
        <w:spacing w:after="60" w:before="60" w:line="276"/>
      </w:pPr>
      <w:r>
        <w:rPr>
          <w:rFonts w:ascii="Arial" w:cs="Arial" w:eastAsia="Arial" w:hAnsi="Arial"/>
          <w:color w:val="1B2631"/>
          <w:sz w:val="22"/>
          <w:szCs w:val="22"/>
        </w:rPr>
        <w:t xml:space="preserve">The canonical record of a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paper_id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Canonical identifier; DOI preferred, then PMID, then OpenAlex 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doi, pmid, pmcid, openalex_id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All known identifiers, retained for aliasing</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title, authors, year, journal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Bibliographic metadata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abstract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Extraction input; may be backfilled from a secondary provider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source_ids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dict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Provider-specific identifiers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metadata_confidence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Higher when several providers agree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provenance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dict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Per-provider retrieval record</w:t>
            </w:r>
          </w:p>
        </w:tc>
      </w:tr>
    </w:tbl>
    <w:p>
      <w:pPr>
        <w:spacing w:before="120"/>
      </w:pPr>
      <w:r>
        <w:t xml:space="preserve"/>
      </w:r>
    </w:p>
    <w:p>
      <w:pPr>
        <w:spacing w:after="60" w:before="60" w:line="276"/>
      </w:pPr>
      <w:r>
        <w:rPr>
          <w:rFonts w:ascii="Arial" w:cs="Arial" w:eastAsia="Arial" w:hAnsi="Arial"/>
          <w:color w:val="1B2631"/>
          <w:sz w:val="22"/>
          <w:szCs w:val="22"/>
        </w:rPr>
        <w:t xml:space="preserve">The choice of a DOI-preferred paper</w:t>
      </w:r>
      <w:r>
        <w:rPr>
          <w:rFonts w:ascii="Arial" w:cs="Arial" w:eastAsia="Arial" w:hAnsi="Arial"/>
          <w:color w:val="1B2631"/>
          <w:sz w:val="22"/>
          <w:szCs w:val="22"/>
        </w:rPr>
        <w:t xml:space="preserve">_</w:t>
      </w:r>
      <w:r>
        <w:rPr>
          <w:rFonts w:ascii="Arial" w:cs="Arial" w:eastAsia="Arial" w:hAnsi="Arial"/>
          <w:color w:val="1B2631"/>
          <w:sz w:val="22"/>
          <w:szCs w:val="22"/>
        </w:rPr>
        <w:t xml:space="preserve">id is load-bearing. The same work retrieved from OpenAlex and from Crossref must collapse to one node, and the DOI is the identifier both share. Section 5.3 describes what happened before this rule was applied consistently.</w:t>
      </w:r>
    </w:p>
    <w:p>
      <w:pPr>
        <w:pStyle w:val="Heading3"/>
        <w:keepNext/>
        <w:spacing w:after="120" w:before="240"/>
      </w:pPr>
      <w:r>
        <w:rPr>
          <w:rFonts w:ascii="Arial" w:cs="Arial" w:eastAsia="Arial" w:hAnsi="Arial"/>
          <w:b w:val="false"/>
          <w:bCs w:val="false"/>
          <w:color w:val="1F784E"/>
          <w:sz w:val="24"/>
          <w:szCs w:val="24"/>
        </w:rPr>
        <w:t xml:space="preserve">4.2.2 PopulationCandidate and PopulationResolution</w:t>
      </w:r>
    </w:p>
    <w:p>
      <w:pPr>
        <w:spacing w:after="60" w:before="60" w:line="276"/>
      </w:pPr>
      <w:r>
        <w:rPr>
          <w:rFonts w:ascii="Arial" w:cs="Arial" w:eastAsia="Arial" w:hAnsi="Arial"/>
          <w:color w:val="1B2631"/>
          <w:sz w:val="22"/>
          <w:szCs w:val="22"/>
        </w:rPr>
        <w:t xml:space="preserve">A candidate is one extracted number with its context; a resolution is the single value selected for a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PopulationCandidate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value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The extracted integer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raw_text, sentence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The matched span and its sentence, for audit</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semantic_type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One of the categories in 4.2.3</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section, start_char, end_char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Provenance within the source text</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confidence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Pattern weight plus a section bonus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PopulationResolution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n_eff</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Selected effective population, or null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semantic_type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Type of the selected candidate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confidence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Confidence of the selected candidate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resolved, ambiguous or missing</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explanation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Human-readable justification</w:t>
            </w:r>
          </w:p>
        </w:tc>
      </w:tr>
    </w:tbl>
    <w:p>
      <w:pPr>
        <w:spacing w:before="120"/>
      </w:pPr>
      <w:r>
        <w:t xml:space="preserve"/>
      </w:r>
    </w:p>
    <w:p>
      <w:pPr>
        <w:spacing w:after="60" w:before="60" w:line="276"/>
      </w:pPr>
      <w:r>
        <w:rPr>
          <w:rFonts w:ascii="Arial" w:cs="Arial" w:eastAsia="Arial" w:hAnsi="Arial"/>
          <w:color w:val="1B2631"/>
          <w:sz w:val="22"/>
          <w:szCs w:val="22"/>
        </w:rPr>
        <w:t xml:space="preserve">Retaining sentence for every candidate is what makes the extraction auditable: a user who doubts a number can read the sentence it came from. The gold-standard evaluation in Chapter 6 relies on the same property.</w:t>
      </w:r>
    </w:p>
    <w:p>
      <w:pPr>
        <w:pStyle w:val="Heading3"/>
        <w:keepNext/>
        <w:spacing w:after="120" w:before="240"/>
      </w:pPr>
      <w:r>
        <w:rPr>
          <w:rFonts w:ascii="Arial" w:cs="Arial" w:eastAsia="Arial" w:hAnsi="Arial"/>
          <w:b w:val="false"/>
          <w:bCs w:val="false"/>
          <w:color w:val="1F784E"/>
          <w:sz w:val="24"/>
          <w:szCs w:val="24"/>
        </w:rPr>
        <w:t xml:space="preserve">4.2.3 Semantic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Meaning</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TOTAL_RANDOMIZED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Subjects randomised or assigned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TOTAL_ANALYZED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Subjects included in the analysis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TOTAL_ENROLLED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Subjects enrolled or recruited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SAMPLE_SIZE_GENERIC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An unqualified total</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ARM_SIZE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Size of one arm or group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SCREENED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Subjects screened for eligibility</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COMPLETERS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Subjects completing the protocol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FOLLOWUP_COUNT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Subjects followed up</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EVENT_COUNT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Outcome event counts, no pattern emits this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UNKNOWN_NUMERIC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Unclassified, no pattern emits this</w:t>
            </w:r>
          </w:p>
        </w:tc>
      </w:tr>
    </w:tbl>
    <w:p>
      <w:pPr>
        <w:spacing w:before="120"/>
      </w:pPr>
      <w:r>
        <w:t xml:space="preserve"/>
      </w:r>
    </w:p>
    <w:p>
      <w:pPr>
        <w:spacing w:after="60" w:before="60" w:line="276"/>
      </w:pPr>
      <w:r>
        <w:rPr>
          <w:rFonts w:ascii="Arial" w:cs="Arial" w:eastAsia="Arial" w:hAnsi="Arial"/>
          <w:color w:val="1B2631"/>
          <w:sz w:val="22"/>
          <w:szCs w:val="22"/>
        </w:rPr>
        <w:t xml:space="preserve">The last two are defined in the model but no extraction pattern produces them. They are listed here as specified-but-unimplemented rather than quietly omitted.</w:t>
      </w:r>
    </w:p>
    <w:p>
      <w:pPr>
        <w:pStyle w:val="Heading3"/>
        <w:keepNext/>
        <w:spacing w:after="120" w:before="240"/>
      </w:pPr>
      <w:r>
        <w:rPr>
          <w:rFonts w:ascii="Arial" w:cs="Arial" w:eastAsia="Arial" w:hAnsi="Arial"/>
          <w:b w:val="false"/>
          <w:bCs w:val="false"/>
          <w:color w:val="1F784E"/>
          <w:sz w:val="24"/>
          <w:szCs w:val="24"/>
        </w:rPr>
        <w:t xml:space="preserve">4.2.4 CitationEdge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source_paper_id, target_paper_id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Direction: source cites target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providers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Which APIs asserted this edge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confidence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Confidence in the edge itself</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n_score, journal_score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Weight components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base_weight, final_weight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Unconfidenced and final weights</w:t>
            </w:r>
          </w:p>
        </w:tc>
      </w:tr>
    </w:tbl>
    <w:p>
      <w:pPr>
        <w:spacing w:before="120"/>
      </w:pPr>
      <w:r>
        <w:t xml:space="preserve"/>
      </w:r>
    </w:p>
    <w:p>
      <w:pPr>
        <w:spacing w:after="60" w:before="60" w:line="276"/>
      </w:pPr>
      <w:r>
        <w:rPr>
          <w:rFonts w:ascii="Arial" w:cs="Arial" w:eastAsia="Arial" w:hAnsi="Arial"/>
          <w:color w:val="1B2631"/>
          <w:sz w:val="22"/>
          <w:szCs w:val="22"/>
        </w:rPr>
        <w:t xml:space="preserve">Retaining the components rather than only the final weight means a user can see why an edge is weighted as it is, and the edge-list export exposes all of them.</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4.3 Metadata Resolution</w:t>
      </w:r>
    </w:p>
    <w:p>
      <w:pPr>
        <w:pStyle w:val="Heading3"/>
        <w:keepNext/>
        <w:spacing w:after="120" w:before="240"/>
      </w:pPr>
      <w:r>
        <w:rPr>
          <w:rFonts w:ascii="Arial" w:cs="Arial" w:eastAsia="Arial" w:hAnsi="Arial"/>
          <w:b w:val="false"/>
          <w:bCs w:val="false"/>
          <w:color w:val="1F784E"/>
          <w:sz w:val="24"/>
          <w:szCs w:val="24"/>
        </w:rPr>
        <w:t xml:space="preserve">4.3.1 Parallel query and merge</w:t>
      </w:r>
    </w:p>
    <w:p>
      <w:pPr>
        <w:spacing w:after="60" w:before="60" w:line="276"/>
      </w:pPr>
      <w:r>
        <w:rPr>
          <w:rFonts w:ascii="Arial" w:cs="Arial" w:eastAsia="Arial" w:hAnsi="Arial"/>
          <w:color w:val="1B2631"/>
          <w:sz w:val="22"/>
          <w:szCs w:val="22"/>
        </w:rPr>
        <w:t xml:space="preserve">The resolver queries all enabled providers concurrently and merges the results. Merging is field-level with per-field precedence rather than whole-record: Crossref is preferred for title, year, authors and journal because it carries publisher-deposited metadata; OpenAlex is preferred for abstracts because it reconstructs them from an inverted index.</w:t>
      </w:r>
    </w:p>
    <w:p>
      <w:pPr>
        <w:spacing w:after="60" w:before="60" w:line="276"/>
      </w:pPr>
      <w:r>
        <w:rPr>
          <w:rFonts w:ascii="Arial" w:cs="Arial" w:eastAsia="Arial" w:hAnsi="Arial"/>
          <w:color w:val="1B2631"/>
          <w:sz w:val="22"/>
          <w:szCs w:val="22"/>
        </w:rPr>
        <w:t xml:space="preserve">Concurrency here is genuine parallelism of I/O, three providers queried at once rather than in sequence, and is the reason seed resolution costs under two seconds rather than six.</w:t>
      </w:r>
    </w:p>
    <w:p>
      <w:pPr>
        <w:pStyle w:val="Heading3"/>
        <w:keepNext/>
        <w:spacing w:after="120" w:before="240"/>
      </w:pPr>
      <w:r>
        <w:rPr>
          <w:rFonts w:ascii="Arial" w:cs="Arial" w:eastAsia="Arial" w:hAnsi="Arial"/>
          <w:b w:val="false"/>
          <w:bCs w:val="false"/>
          <w:color w:val="1F784E"/>
          <w:sz w:val="24"/>
          <w:szCs w:val="24"/>
        </w:rPr>
        <w:t xml:space="preserve">4.3.2 Identifier canonicalisation</w:t>
      </w:r>
    </w:p>
    <w:p>
      <w:pPr>
        <w:spacing w:after="60" w:before="60" w:line="276"/>
      </w:pPr>
      <w:r>
        <w:rPr>
          <w:rFonts w:ascii="Arial" w:cs="Arial" w:eastAsia="Arial" w:hAnsi="Arial"/>
          <w:color w:val="1B2631"/>
          <w:sz w:val="22"/>
          <w:szCs w:val="22"/>
        </w:rPr>
        <w:t xml:space="preserve">All identifiers pass through a canonicaliser that:</w:t>
      </w:r>
    </w:p>
    <w:p>
      <w:pPr>
        <w:pStyle w:val="ListParagraph"/>
        <w:numPr>
          <w:ilvl w:val="0"/>
          <w:numId w:val="3"/>
        </w:numPr>
        <w:spacing w:after="20" w:before="20" w:line="276"/>
      </w:pPr>
      <w:r>
        <w:rPr>
          <w:rFonts w:ascii="Arial" w:cs="Arial" w:eastAsia="Arial" w:hAnsi="Arial"/>
          <w:color w:val="1B2631"/>
          <w:sz w:val="22"/>
          <w:szCs w:val="22"/>
        </w:rPr>
        <w:t xml:space="preserve">reduces </w:t>
      </w:r>
      <w:hyperlink w:history="1" r:id="rIdfkvcz1jt_nfomosqajsed">
        <w:r>
          <w:rPr>
            <w:rFonts w:ascii="Arial" w:cs="Arial" w:eastAsia="Arial" w:hAnsi="Arial"/>
            <w:color w:val="1155CC"/>
            <w:sz w:val="22"/>
            <w:szCs w:val="22"/>
            <w:u w:val="single"/>
          </w:rPr>
          <w:t xml:space="preserve">https://doi.org/10.x/y</w:t>
        </w:r>
      </w:hyperlink>
      <w:r>
        <w:rPr>
          <w:rFonts w:ascii="Arial" w:cs="Arial" w:eastAsia="Arial" w:hAnsi="Arial"/>
          <w:color w:val="1B2631"/>
          <w:sz w:val="22"/>
          <w:szCs w:val="22"/>
        </w:rPr>
        <w:t xml:space="preserve"> to 10.x/y and lowercases it;</w:t>
      </w:r>
    </w:p>
    <w:p>
      <w:pPr>
        <w:pStyle w:val="ListParagraph"/>
        <w:numPr>
          <w:ilvl w:val="0"/>
          <w:numId w:val="3"/>
        </w:numPr>
        <w:spacing w:after="20" w:before="20" w:line="276"/>
      </w:pPr>
      <w:r>
        <w:rPr>
          <w:rFonts w:ascii="Arial" w:cs="Arial" w:eastAsia="Arial" w:hAnsi="Arial"/>
          <w:color w:val="1B2631"/>
          <w:sz w:val="22"/>
          <w:szCs w:val="22"/>
        </w:rPr>
        <w:t xml:space="preserve">reduces </w:t>
      </w:r>
      <w:hyperlink w:history="1" r:id="rIdzhl-9ak0upo6l72ox-9zm">
        <w:r>
          <w:rPr>
            <w:rFonts w:ascii="Arial" w:cs="Arial" w:eastAsia="Arial" w:hAnsi="Arial"/>
            <w:color w:val="1155CC"/>
            <w:sz w:val="22"/>
            <w:szCs w:val="22"/>
            <w:u w:val="single"/>
          </w:rPr>
          <w:t xml:space="preserve">https://pubmed.ncbi.nlm.nih.gov/12345678</w:t>
        </w:r>
      </w:hyperlink>
      <w:r>
        <w:rPr>
          <w:rFonts w:ascii="Arial" w:cs="Arial" w:eastAsia="Arial" w:hAnsi="Arial"/>
          <w:color w:val="1B2631"/>
          <w:sz w:val="22"/>
          <w:szCs w:val="22"/>
        </w:rPr>
        <w:t xml:space="preserve"> to 12345678;</w:t>
      </w:r>
    </w:p>
    <w:p>
      <w:pPr>
        <w:pStyle w:val="ListParagraph"/>
        <w:numPr>
          <w:ilvl w:val="0"/>
          <w:numId w:val="3"/>
        </w:numPr>
        <w:spacing w:after="20" w:before="20" w:line="276"/>
      </w:pPr>
      <w:r>
        <w:rPr>
          <w:rFonts w:ascii="Arial" w:cs="Arial" w:eastAsia="Arial" w:hAnsi="Arial"/>
          <w:color w:val="1B2631"/>
          <w:sz w:val="22"/>
          <w:szCs w:val="22"/>
        </w:rPr>
        <w:t xml:space="preserve">uppercases PMCIDs and OpenAlex work identifiers;</w:t>
      </w:r>
    </w:p>
    <w:p>
      <w:pPr>
        <w:pStyle w:val="ListParagraph"/>
        <w:numPr>
          <w:ilvl w:val="0"/>
          <w:numId w:val="3"/>
        </w:numPr>
        <w:spacing w:after="20" w:before="20" w:line="276"/>
      </w:pPr>
      <w:r>
        <w:rPr>
          <w:rFonts w:ascii="Arial" w:cs="Arial" w:eastAsia="Arial" w:hAnsi="Arial"/>
          <w:color w:val="1B2631"/>
          <w:sz w:val="22"/>
          <w:szCs w:val="22"/>
        </w:rPr>
        <w:t xml:space="preserve">trims publisher view segments (/full, /pdf, /abstract) that a greedy</w:t>
      </w:r>
    </w:p>
    <w:p>
      <w:pPr>
        <w:spacing w:after="60" w:before="60" w:line="276"/>
      </w:pPr>
      <w:r>
        <w:rPr>
          <w:rFonts w:ascii="Arial" w:cs="Arial" w:eastAsia="Arial" w:hAnsi="Arial"/>
          <w:color w:val="1B2631"/>
          <w:sz w:val="22"/>
          <w:szCs w:val="22"/>
        </w:rPr>
        <w:t xml:space="preserve">DOI match absorbs from an article URL.</w:t>
      </w:r>
    </w:p>
    <w:p>
      <w:pPr>
        <w:spacing w:after="60" w:before="60" w:line="276"/>
      </w:pPr>
      <w:r>
        <w:rPr>
          <w:rFonts w:ascii="Arial" w:cs="Arial" w:eastAsia="Arial" w:hAnsi="Arial"/>
          <w:color w:val="1B2631"/>
          <w:sz w:val="22"/>
          <w:szCs w:val="22"/>
        </w:rPr>
        <w:t xml:space="preserve">Each of these rules exists because its absence caused an observed failure. Section 5.7 documents the URL cases.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4.4 Citation Traversal</w:t>
      </w:r>
    </w:p>
    <w:p>
      <w:pPr>
        <w:pStyle w:val="Heading3"/>
        <w:keepNext/>
        <w:spacing w:after="120" w:before="240"/>
      </w:pPr>
      <w:r>
        <w:rPr>
          <w:rFonts w:ascii="Arial" w:cs="Arial" w:eastAsia="Arial" w:hAnsi="Arial"/>
          <w:b w:val="false"/>
          <w:bCs w:val="false"/>
          <w:color w:val="1F784E"/>
          <w:sz w:val="24"/>
          <w:szCs w:val="24"/>
        </w:rPr>
        <w:t xml:space="preserve">4.4.1 Level-synchronous breadth-first search</w:t>
      </w:r>
    </w:p>
    <w:p>
      <w:pPr>
        <w:spacing w:after="60" w:before="60" w:line="276"/>
      </w:pPr>
      <w:r>
        <w:rPr>
          <w:rFonts w:ascii="Arial" w:cs="Arial" w:eastAsia="Arial" w:hAnsi="Arial"/>
          <w:color w:val="1B2631"/>
          <w:sz w:val="22"/>
          <w:szCs w:val="22"/>
        </w:rPr>
        <w:t xml:space="preserve">Traversal is breadth-first and level-synchronous: the complete frontier at depth d is expanded before any node at depth d+1. This is not the natural formulation, a simple queue-based BFS is shorter, but it is what makes batching possible. Because the entire frontier's neighbours are known at once, their metadata can be fetched in batches of fifty rather than one request per paper. Section 5.3 quantifies the difference.</w:t>
      </w:r>
    </w:p>
    <w:p>
      <w:pPr>
        <w:pStyle w:val="Heading3"/>
        <w:keepNext/>
        <w:spacing w:after="120" w:before="240"/>
      </w:pPr>
      <w:r>
        <w:rPr>
          <w:rFonts w:ascii="Arial" w:cs="Arial" w:eastAsia="Arial" w:hAnsi="Arial"/>
          <w:b w:val="false"/>
          <w:bCs w:val="false"/>
          <w:color w:val="1F784E"/>
          <w:sz w:val="24"/>
          <w:szCs w:val="24"/>
        </w:rPr>
        <w:t xml:space="preserve">4.4.2 Identity aliasing</w:t>
      </w:r>
    </w:p>
    <w:p>
      <w:pPr>
        <w:spacing w:after="60" w:before="60" w:line="276"/>
      </w:pPr>
      <w:r>
        <w:rPr>
          <w:rFonts w:ascii="Arial" w:cs="Arial" w:eastAsia="Arial" w:hAnsi="Arial"/>
          <w:color w:val="1B2631"/>
          <w:sz w:val="22"/>
          <w:szCs w:val="22"/>
        </w:rPr>
        <w:t xml:space="preserve">A single work is referred to by different identifiers by different providers: OpenAlex returns W2741809807, Crossref returns 10.1016/j.jhin.2015.08.027. The traversal maintains an alias table mapping every identifier seen to one canonical paper</w:t>
      </w:r>
      <w:r>
        <w:rPr>
          <w:rFonts w:ascii="Arial" w:cs="Arial" w:eastAsia="Arial" w:hAnsi="Arial"/>
          <w:color w:val="1B2631"/>
          <w:sz w:val="22"/>
          <w:szCs w:val="22"/>
        </w:rPr>
        <w:t xml:space="preserve">_</w:t>
      </w:r>
      <w:r>
        <w:rPr>
          <w:rFonts w:ascii="Arial" w:cs="Arial" w:eastAsia="Arial" w:hAnsi="Arial"/>
          <w:color w:val="1B2631"/>
          <w:sz w:val="22"/>
          <w:szCs w:val="22"/>
        </w:rPr>
        <w:t xml:space="preserve">id. Edges are recorded with raw provider identifiers and rewritten through the alias table at commit time.</w:t>
      </w:r>
    </w:p>
    <w:p>
      <w:pPr>
        <w:spacing w:after="60" w:before="60" w:line="276"/>
      </w:pPr>
      <w:r>
        <w:rPr>
          <w:rFonts w:ascii="Arial" w:cs="Arial" w:eastAsia="Arial" w:hAnsi="Arial"/>
          <w:color w:val="1B2631"/>
          <w:sz w:val="22"/>
          <w:szCs w:val="22"/>
        </w:rPr>
        <w:t xml:space="preserve">Two consequences follow, both load-bearing:</w:t>
      </w:r>
    </w:p>
    <w:p>
      <w:pPr>
        <w:pStyle w:val="ListParagraph"/>
        <w:numPr>
          <w:ilvl w:val="0"/>
          <w:numId w:val="18"/>
        </w:numPr>
        <w:spacing w:after="20" w:before="20" w:line="276"/>
      </w:pPr>
      <w:r>
        <w:rPr>
          <w:rFonts w:ascii="Arial" w:cs="Arial" w:eastAsia="Arial" w:hAnsi="Arial"/>
          <w:color w:val="1B2631"/>
          <w:sz w:val="22"/>
          <w:szCs w:val="22"/>
        </w:rPr>
        <w:t xml:space="preserve">An edge is committed only if both endpoints resolve. An edge pointing at</w:t>
      </w:r>
    </w:p>
    <w:p>
      <w:pPr>
        <w:spacing w:after="60" w:before="60" w:line="276"/>
      </w:pPr>
      <w:r>
        <w:rPr>
          <w:rFonts w:ascii="Arial" w:cs="Arial" w:eastAsia="Arial" w:hAnsi="Arial"/>
          <w:color w:val="1B2631"/>
          <w:sz w:val="22"/>
          <w:szCs w:val="22"/>
        </w:rPr>
        <w:t xml:space="preserve">a paper that was never retrieved is dropped rather than emitted as a dangling reference. Section 6.5 measures the result: zero dangling edges.</w:t>
      </w:r>
    </w:p>
    <w:p>
      <w:pPr>
        <w:pStyle w:val="ListParagraph"/>
        <w:numPr>
          <w:ilvl w:val="0"/>
          <w:numId w:val="19"/>
        </w:numPr>
        <w:spacing w:after="20" w:before="20" w:line="276"/>
      </w:pPr>
      <w:r>
        <w:rPr>
          <w:rFonts w:ascii="Arial" w:cs="Arial" w:eastAsia="Arial" w:hAnsi="Arial"/>
          <w:color w:val="1B2631"/>
          <w:sz w:val="22"/>
          <w:szCs w:val="22"/>
        </w:rPr>
        <w:t xml:space="preserve">Duplicate detection operates before the paper budget is consumed, so a</w:t>
      </w:r>
    </w:p>
    <w:p>
      <w:pPr>
        <w:spacing w:after="60" w:before="60" w:line="276"/>
      </w:pPr>
      <w:r>
        <w:rPr>
          <w:rFonts w:ascii="Arial" w:cs="Arial" w:eastAsia="Arial" w:hAnsi="Arial"/>
          <w:color w:val="1B2631"/>
          <w:sz w:val="22"/>
          <w:szCs w:val="22"/>
        </w:rPr>
        <w:t xml:space="preserve">merged duplicate never costs a graph slot. A run capped at 40 papers returns 40 distinct papers, not 40 minus the duplicates.</w:t>
      </w:r>
    </w:p>
    <w:p>
      <w:pPr>
        <w:pStyle w:val="Heading3"/>
        <w:keepNext/>
        <w:spacing w:after="120" w:before="240"/>
      </w:pPr>
      <w:r>
        <w:rPr>
          <w:rFonts w:ascii="Arial" w:cs="Arial" w:eastAsia="Arial" w:hAnsi="Arial"/>
          <w:b w:val="false"/>
          <w:bCs w:val="false"/>
          <w:color w:val="1F784E"/>
          <w:sz w:val="24"/>
          <w:szCs w:val="24"/>
        </w:rPr>
        <w:t xml:space="preserve">4.4.3 Abstract backfill</w:t>
      </w:r>
    </w:p>
    <w:p>
      <w:pPr>
        <w:spacing w:after="60" w:before="60" w:line="276"/>
      </w:pPr>
      <w:r>
        <w:rPr>
          <w:rFonts w:ascii="Arial" w:cs="Arial" w:eastAsia="Arial" w:hAnsi="Arial"/>
          <w:color w:val="1B2631"/>
          <w:sz w:val="22"/>
          <w:szCs w:val="22"/>
        </w:rPr>
        <w:t xml:space="preserve">Population evidence can only be extracted from text. Measurement showed 28% of papers in a representative graph carry no abstract in OpenAlex, so a backfill stage was added between traversal and extraction: papers lacking an abstract are collected and queried against Europe PMC in a single OR-joined request. Section 6.3 reports the recovery rate.</w:t>
      </w:r>
    </w:p>
    <w:p>
      <w:pPr>
        <w:pStyle w:val="Heading3"/>
        <w:keepNext/>
        <w:spacing w:after="120" w:before="240"/>
      </w:pPr>
      <w:r>
        <w:rPr>
          <w:rFonts w:ascii="Arial" w:cs="Arial" w:eastAsia="Arial" w:hAnsi="Arial"/>
          <w:b w:val="false"/>
          <w:bCs w:val="false"/>
          <w:color w:val="1F784E"/>
          <w:sz w:val="24"/>
          <w:szCs w:val="24"/>
        </w:rPr>
        <w:t xml:space="preserve">4.4.4 Budget allocation</w:t>
      </w:r>
    </w:p>
    <w:p>
      <w:pPr>
        <w:spacing w:after="60" w:before="60" w:line="276"/>
      </w:pPr>
      <w:r>
        <w:rPr>
          <w:rFonts w:ascii="Arial" w:cs="Arial" w:eastAsia="Arial" w:hAnsi="Arial"/>
          <w:color w:val="1B2631"/>
          <w:sz w:val="22"/>
          <w:szCs w:val="22"/>
        </w:rPr>
        <w:t xml:space="preserve">Both directions compete for one budget of papers. A heavily cited paper would otherwise consume the entire budget on citing works, starving the backward walk that finds foundational papers, which is the system's purpose. The traversal therefore reserves a share for each direction, defaulting to 65% backward and 35% forward, and releases a direction's unused reservation to the other when it can no longer expand.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4.5 Edge Weighting</w:t>
      </w:r>
    </w:p>
    <w:p>
      <w:pPr>
        <w:pStyle w:val="Heading3"/>
        <w:keepNext/>
        <w:spacing w:after="120" w:before="240"/>
      </w:pPr>
      <w:r>
        <w:rPr>
          <w:rFonts w:ascii="Arial" w:cs="Arial" w:eastAsia="Arial" w:hAnsi="Arial"/>
          <w:b w:val="false"/>
          <w:bCs w:val="false"/>
          <w:color w:val="1F784E"/>
          <w:sz w:val="24"/>
          <w:szCs w:val="24"/>
        </w:rPr>
        <w:t xml:space="preserve">4.5.1 Formulation</w:t>
      </w:r>
    </w:p>
    <w:p>
      <w:pPr>
        <w:spacing w:after="60" w:before="60" w:line="276"/>
      </w:pPr>
      <w:r>
        <w:rPr>
          <w:rFonts w:ascii="Arial" w:cs="Arial" w:eastAsia="Arial" w:hAnsi="Arial"/>
          <w:color w:val="1B2631"/>
          <w:sz w:val="22"/>
          <w:szCs w:val="22"/>
        </w:rPr>
        <w:t xml:space="preserve">Each edge is weighted by the evidence reported in the target paper, the work being cited, since that is where the evidence being relied upon resides.</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N_score       = log1p(N_eff) / log1p(N_reference)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evidence_term = α · N_score · pop_confidence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final_weight  = (evidence_term + β · journal_score) · edge_confidence</w:t>
      </w:r>
    </w:p>
    <w:p>
      <w:pPr>
        <w:spacing w:after="60" w:before="60" w:line="276"/>
      </w:pPr>
      <w:r>
        <w:rPr>
          <w:rFonts w:ascii="Arial" w:cs="Arial" w:eastAsia="Arial" w:hAnsi="Arial"/>
          <w:color w:val="1B2631"/>
          <w:sz w:val="22"/>
          <w:szCs w:val="22"/>
        </w:rPr>
        <w:t xml:space="preserve">with α = 0.75, β = 0.25, N</w:t>
      </w:r>
      <w:r>
        <w:rPr>
          <w:rFonts w:ascii="Arial" w:cs="Arial" w:eastAsia="Arial" w:hAnsi="Arial"/>
          <w:color w:val="1B2631"/>
          <w:sz w:val="22"/>
          <w:szCs w:val="22"/>
        </w:rPr>
        <w:t xml:space="preserve">_</w:t>
      </w:r>
      <w:r>
        <w:rPr>
          <w:rFonts w:ascii="Arial" w:cs="Arial" w:eastAsia="Arial" w:hAnsi="Arial"/>
          <w:color w:val="1B2631"/>
          <w:sz w:val="22"/>
          <w:szCs w:val="22"/>
        </w:rPr>
        <w:t xml:space="preserve">reference = 100,000 and journal</w:t>
      </w:r>
      <w:r>
        <w:rPr>
          <w:rFonts w:ascii="Arial" w:cs="Arial" w:eastAsia="Arial" w:hAnsi="Arial"/>
          <w:color w:val="1B2631"/>
          <w:sz w:val="22"/>
          <w:szCs w:val="22"/>
        </w:rPr>
        <w:t xml:space="preserve">_</w:t>
      </w:r>
      <w:r>
        <w:rPr>
          <w:rFonts w:ascii="Arial" w:cs="Arial" w:eastAsia="Arial" w:hAnsi="Arial"/>
          <w:color w:val="1B2631"/>
          <w:sz w:val="22"/>
          <w:szCs w:val="22"/>
        </w:rPr>
        <w:t xml:space="preserve">score currently a constant 0.5 (see 4.5.3).</w:t>
      </w:r>
    </w:p>
    <w:p>
      <w:pPr>
        <w:spacing w:after="60" w:before="60" w:line="276"/>
      </w:pPr>
      <w:r>
        <w:rPr>
          <w:rFonts w:ascii="Arial" w:cs="Arial" w:eastAsia="Arial" w:hAnsi="Arial"/>
          <w:color w:val="1B2631"/>
          <w:sz w:val="22"/>
          <w:szCs w:val="22"/>
        </w:rPr>
        <w:t xml:space="preserve">The logarithm is deliberate. Sample sizes span several orders of magnitude, from single-digit case series to six-figure cohorts, and a linear scale would let one very large study dominate every path it appears on. On a log scale the difference between 100 and 1,000 participants carries the same weight as that between 1,000 and 10,000, which better matches how a reader treats the difference.</w:t>
      </w:r>
    </w:p>
    <w:p>
      <w:pPr>
        <w:pStyle w:val="Heading3"/>
        <w:keepNext/>
        <w:spacing w:after="120" w:before="240"/>
      </w:pPr>
      <w:r>
        <w:rPr>
          <w:rFonts w:ascii="Arial" w:cs="Arial" w:eastAsia="Arial" w:hAnsi="Arial"/>
          <w:b w:val="false"/>
          <w:bCs w:val="false"/>
          <w:color w:val="1F784E"/>
          <w:sz w:val="24"/>
          <w:szCs w:val="24"/>
        </w:rPr>
        <w:t xml:space="preserve">4.5.2 Why confidence scales only the evidential term</w:t>
      </w:r>
    </w:p>
    <w:p>
      <w:pPr>
        <w:spacing w:after="60" w:before="60" w:line="276"/>
      </w:pPr>
      <w:r>
        <w:rPr>
          <w:rFonts w:ascii="Arial" w:cs="Arial" w:eastAsia="Arial" w:hAnsi="Arial"/>
          <w:color w:val="1B2631"/>
          <w:sz w:val="22"/>
          <w:szCs w:val="22"/>
        </w:rPr>
        <w:t xml:space="preserve">Confidence multiplies the evidence term only; the journal term always applies. This matters more than it appears. If confidence multiplied the whole weight, then a paper with no extractable population, confidence 0.0 by definition, would produce an edge weight of exactly zero. Every edge in a non-clinical graph would be zero, and the weighted ranking would silently become unweighted.</w:t>
      </w:r>
    </w:p>
    <w:p>
      <w:pPr>
        <w:spacing w:after="60" w:before="60" w:line="276"/>
      </w:pPr>
      <w:r>
        <w:rPr>
          <w:rFonts w:ascii="Arial" w:cs="Arial" w:eastAsia="Arial" w:hAnsi="Arial"/>
          <w:color w:val="1B2631"/>
          <w:sz w:val="22"/>
          <w:szCs w:val="22"/>
        </w:rPr>
        <w:t xml:space="preserve">This is not hypothetical. It was the delivered behaviour, and Section 5.6 describes how it was found and why it was invisible.</w:t>
      </w:r>
    </w:p>
    <w:p>
      <w:pPr>
        <w:pStyle w:val="Heading3"/>
        <w:keepNext/>
        <w:spacing w:after="120" w:before="240"/>
      </w:pPr>
      <w:r>
        <w:rPr>
          <w:rFonts w:ascii="Arial" w:cs="Arial" w:eastAsia="Arial" w:hAnsi="Arial"/>
          <w:b w:val="false"/>
          <w:bCs w:val="false"/>
          <w:color w:val="1F784E"/>
          <w:sz w:val="24"/>
          <w:szCs w:val="24"/>
        </w:rPr>
        <w:t xml:space="preserve">4.5.3 Acknowledged simplification</w:t>
      </w:r>
    </w:p>
    <w:p>
      <w:pPr>
        <w:spacing w:after="60" w:before="60" w:line="276"/>
      </w:pPr>
      <w:r>
        <w:rPr>
          <w:rFonts w:ascii="Arial" w:cs="Arial" w:eastAsia="Arial" w:hAnsi="Arial"/>
          <w:color w:val="1B2631"/>
          <w:sz w:val="22"/>
          <w:szCs w:val="22"/>
        </w:rPr>
        <w:t xml:space="preserve">journal</w:t>
      </w:r>
      <w:r>
        <w:rPr>
          <w:rFonts w:ascii="Arial" w:cs="Arial" w:eastAsia="Arial" w:hAnsi="Arial"/>
          <w:color w:val="1B2631"/>
          <w:sz w:val="22"/>
          <w:szCs w:val="22"/>
        </w:rPr>
        <w:t xml:space="preserve">_</w:t>
      </w:r>
      <w:r>
        <w:rPr>
          <w:rFonts w:ascii="Arial" w:cs="Arial" w:eastAsia="Arial" w:hAnsi="Arial"/>
          <w:color w:val="1B2631"/>
          <w:sz w:val="22"/>
          <w:szCs w:val="22"/>
        </w:rPr>
        <w:t xml:space="preserve">score is a constant 0.5 for every paper. The proposal envisaged a venue-quality term. It is not implemented, and the constant means the term contributes a uniform 0.125 to every edge, a floor rather than a discriminating signal. Section 7.4 lists this among the divergences from the proposal.</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4.6 Graph Analytics</w:t>
      </w:r>
    </w:p>
    <w:p>
      <w:pPr>
        <w:pStyle w:val="Heading3"/>
        <w:keepNext/>
        <w:spacing w:after="120" w:before="240"/>
      </w:pPr>
      <w:r>
        <w:rPr>
          <w:rFonts w:ascii="Arial" w:cs="Arial" w:eastAsia="Arial" w:hAnsi="Arial"/>
          <w:b w:val="false"/>
          <w:bCs w:val="false"/>
          <w:color w:val="1F784E"/>
          <w:sz w:val="24"/>
          <w:szCs w:val="24"/>
        </w:rPr>
        <w:t xml:space="preserve">4.6.1 Foundational paper ranking</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score = 0.5 · PageRank + 0.3 · year_score + 0.2 · evidence_score</w:t>
      </w:r>
    </w:p>
    <w:p>
      <w:pPr>
        <w:spacing w:after="60" w:before="60" w:line="276"/>
      </w:pPr>
      <w:r>
        <w:rPr>
          <w:rFonts w:ascii="Arial" w:cs="Arial" w:eastAsia="Arial" w:hAnsi="Arial"/>
          <w:color w:val="1B2631"/>
          <w:sz w:val="22"/>
          <w:szCs w:val="22"/>
        </w:rPr>
        <w:t xml:space="preserve">year</w:t>
      </w:r>
      <w:r>
        <w:rPr>
          <w:rFonts w:ascii="Arial" w:cs="Arial" w:eastAsia="Arial" w:hAnsi="Arial"/>
          <w:color w:val="1B2631"/>
          <w:sz w:val="22"/>
          <w:szCs w:val="22"/>
        </w:rPr>
        <w:t xml:space="preserve">_</w:t>
      </w:r>
      <w:r>
        <w:rPr>
          <w:rFonts w:ascii="Arial" w:cs="Arial" w:eastAsia="Arial" w:hAnsi="Arial"/>
          <w:color w:val="1B2631"/>
          <w:sz w:val="22"/>
          <w:szCs w:val="22"/>
        </w:rPr>
        <w:t xml:space="preserve">score rises with age, saturating at twenty years; evidence</w:t>
      </w:r>
      <w:r>
        <w:rPr>
          <w:rFonts w:ascii="Arial" w:cs="Arial" w:eastAsia="Arial" w:hAnsi="Arial"/>
          <w:color w:val="1B2631"/>
          <w:sz w:val="22"/>
          <w:szCs w:val="22"/>
        </w:rPr>
        <w:t xml:space="preserve">_</w:t>
      </w:r>
      <w:r>
        <w:rPr>
          <w:rFonts w:ascii="Arial" w:cs="Arial" w:eastAsia="Arial" w:hAnsi="Arial"/>
          <w:color w:val="1B2631"/>
          <w:sz w:val="22"/>
          <w:szCs w:val="22"/>
        </w:rPr>
        <w:t xml:space="preserve">score is the normalised population score scaled by population confidence.</w:t>
      </w:r>
    </w:p>
    <w:p>
      <w:pPr>
        <w:spacing w:after="60" w:before="60" w:line="276"/>
      </w:pPr>
      <w:r>
        <w:rPr>
          <w:rFonts w:ascii="Arial" w:cs="Arial" w:eastAsia="Arial" w:hAnsi="Arial"/>
          <w:color w:val="1B2631"/>
          <w:sz w:val="22"/>
          <w:szCs w:val="22"/>
        </w:rPr>
        <w:t xml:space="preserve">The age term is a deliberate inversion of the usual bibliometric bias. Citation counts favour recent, highly visible work [waltman2016review]; this system is looking for origins, so age is rewarded. The weights are not empirically tuned, they were set by judgement and no sensitivity analysis was performed, which Section 7.3 records as a limitation.</w:t>
      </w:r>
    </w:p>
    <w:p>
      <w:pPr>
        <w:pStyle w:val="Heading3"/>
        <w:keepNext/>
        <w:spacing w:after="120" w:before="240"/>
      </w:pPr>
      <w:r>
        <w:rPr>
          <w:rFonts w:ascii="Arial" w:cs="Arial" w:eastAsia="Arial" w:hAnsi="Arial"/>
          <w:b w:val="false"/>
          <w:bCs w:val="false"/>
          <w:color w:val="1F784E"/>
          <w:sz w:val="24"/>
          <w:szCs w:val="24"/>
        </w:rPr>
        <w:t xml:space="preserve">4.6.2 Citation path ranking</w:t>
      </w:r>
    </w:p>
    <w:p>
      <w:pPr>
        <w:spacing w:after="60" w:before="60" w:line="276"/>
      </w:pPr>
      <w:r>
        <w:rPr>
          <w:rFonts w:ascii="Arial" w:cs="Arial" w:eastAsia="Arial" w:hAnsi="Arial"/>
          <w:color w:val="1B2631"/>
          <w:sz w:val="22"/>
          <w:szCs w:val="22"/>
        </w:rPr>
        <w:t xml:space="preserve">Paths from the seed are scored by mean edge weight, multiplied path confidence, and a depth penalty of 1/√(length).</w:t>
      </w:r>
    </w:p>
    <w:p>
      <w:pPr>
        <w:spacing w:after="60" w:before="60" w:line="276"/>
      </w:pPr>
      <w:r>
        <w:rPr>
          <w:rFonts w:ascii="Arial" w:cs="Arial" w:eastAsia="Arial" w:hAnsi="Arial"/>
          <w:color w:val="1B2631"/>
          <w:sz w:val="22"/>
          <w:szCs w:val="22"/>
        </w:rPr>
        <w:t xml:space="preserve">Path enumeration is the one component with combinatorial risk. A densely interlinked graph contains an astronomical number of simple paths, and the naive formulation, enumerate all simple paths to each node, score them, sort, keep ten, is quadratic in a way that is easy to miss. Section 5.6 reports the measurement and the redesign: a single depth-limited depth-first traversal feeding a bounded heap, with a hard cap on paths examined.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4.7 Surfacing Uncertainty</w:t>
      </w:r>
    </w:p>
    <w:p>
      <w:pPr>
        <w:spacing w:after="60" w:before="60" w:line="276"/>
      </w:pPr>
      <w:r>
        <w:rPr>
          <w:rFonts w:ascii="Arial" w:cs="Arial" w:eastAsia="Arial" w:hAnsi="Arial"/>
          <w:color w:val="1B2631"/>
          <w:sz w:val="22"/>
          <w:szCs w:val="22"/>
        </w:rPr>
        <w:t xml:space="preserve">A system that reports an extracted number without reporting its reliability invites the reader to trust it more than the evidence warrants. Three mechanisms address this.</w:t>
      </w:r>
    </w:p>
    <w:p>
      <w:pPr>
        <w:spacing w:after="60" w:before="60" w:line="276"/>
      </w:pPr>
      <w:r>
        <w:rPr>
          <w:rFonts w:ascii="Arial" w:cs="Arial" w:eastAsia="Arial" w:hAnsi="Arial"/>
          <w:color w:val="1B2631"/>
          <w:sz w:val="22"/>
          <w:szCs w:val="22"/>
        </w:rPr>
        <w:t xml:space="preserve">Status labels. Every resolution is resolved, ambiguous or missing. ambiguous means a competing candidate scored within 10% of the selected one with a materially different value, which is a genuine signal that the abstract is unclear rather than a system failure.</w:t>
      </w:r>
    </w:p>
    <w:p>
      <w:pPr>
        <w:spacing w:after="60" w:before="60" w:line="276"/>
      </w:pPr>
      <w:r>
        <w:rPr>
          <w:rFonts w:ascii="Arial" w:cs="Arial" w:eastAsia="Arial" w:hAnsi="Arial"/>
          <w:color w:val="1B2631"/>
          <w:sz w:val="22"/>
          <w:szCs w:val="22"/>
        </w:rPr>
        <w:t xml:space="preserve">Confidence propagation. Confidence flows from pattern weight through resolution to edge weight, so a low-confidence extraction produces a correspondingly smaller evidential contribution.</w:t>
      </w:r>
    </w:p>
    <w:p>
      <w:pPr>
        <w:spacing w:after="60" w:before="60" w:line="276"/>
      </w:pPr>
      <w:r>
        <w:rPr>
          <w:rFonts w:ascii="Arial" w:cs="Arial" w:eastAsia="Arial" w:hAnsi="Arial"/>
          <w:color w:val="1B2631"/>
          <w:sz w:val="22"/>
          <w:szCs w:val="22"/>
        </w:rPr>
        <w:t xml:space="preserve">Explicit reporting of absence. Run results carry warnings naming how many abstracts were unavailable, how many were recovered from a secondary provider, and how many duplicate records were merged. A sparse graph can therefore be explained, few citations, or records merged, or lookups failed, rather than leaving the user to guess.</w:t>
      </w:r>
    </w:p>
    <w:p>
      <w:pPr>
        <w:spacing w:after="60" w:before="60" w:line="276"/>
      </w:pPr>
      <w:r>
        <w:rPr>
          <w:rFonts w:ascii="Arial" w:cs="Arial" w:eastAsia="Arial" w:hAnsi="Arial"/>
          <w:color w:val="1B2631"/>
          <w:sz w:val="22"/>
          <w:szCs w:val="22"/>
        </w:rPr>
        <w:t xml:space="preserve">The generated Markdown report states plainly when no population evidence was found and what that implies for the weights, rather than presenting an unweighted ranking as though it were evidence-weighted.</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4 (continued): Algorithm Specifications</w:t>
      </w:r>
    </w:p>
    <w:p>
      <w:pPr>
        <w:spacing w:after="60" w:before="60" w:line="276"/>
      </w:pPr>
      <w:r>
        <w:rPr>
          <w:rFonts w:ascii="Arial" w:cs="Arial" w:eastAsia="Arial" w:hAnsi="Arial"/>
          <w:color w:val="1B2631"/>
          <w:sz w:val="22"/>
          <w:szCs w:val="22"/>
        </w:rPr>
        <w:t xml:space="preserve">This chapter states the five core algorithms precisely enough to be reimplemented. Each is given as pseudocode with its complexity, its failure modes, and a note on the design decisions that are not obvious from the code.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4.8 Algorithm 1: Metadata Merge</w:t>
      </w:r>
    </w:p>
    <w:p>
      <w:pPr>
        <w:pStyle w:val="Heading3"/>
        <w:keepNext/>
        <w:spacing w:after="120" w:before="240"/>
      </w:pPr>
      <w:r>
        <w:rPr>
          <w:rFonts w:ascii="Arial" w:cs="Arial" w:eastAsia="Arial" w:hAnsi="Arial"/>
          <w:b w:val="false"/>
          <w:bCs w:val="false"/>
          <w:color w:val="1F784E"/>
          <w:sz w:val="24"/>
          <w:szCs w:val="24"/>
        </w:rPr>
        <w:t xml:space="preserve">4.8.1 Problem</w:t>
      </w:r>
    </w:p>
    <w:p>
      <w:pPr>
        <w:spacing w:after="60" w:before="60" w:line="276"/>
      </w:pPr>
      <w:r>
        <w:rPr>
          <w:rFonts w:ascii="Arial" w:cs="Arial" w:eastAsia="Arial" w:hAnsi="Arial"/>
          <w:color w:val="1B2631"/>
          <w:sz w:val="22"/>
          <w:szCs w:val="22"/>
        </w:rPr>
        <w:t xml:space="preserve">Three providers return partially overlapping, sometimes conflicting records for one work. Produce a single record, preferring the more reliable source per field, and retain enough provenance that a disagreement can be investigated.</w:t>
      </w:r>
    </w:p>
    <w:p>
      <w:pPr>
        <w:pStyle w:val="Heading3"/>
        <w:keepNext/>
        <w:spacing w:after="120" w:before="240"/>
      </w:pPr>
      <w:r>
        <w:rPr>
          <w:rFonts w:ascii="Arial" w:cs="Arial" w:eastAsia="Arial" w:hAnsi="Arial"/>
          <w:b w:val="false"/>
          <w:bCs w:val="false"/>
          <w:color w:val="1F784E"/>
          <w:sz w:val="24"/>
          <w:szCs w:val="24"/>
        </w:rPr>
        <w:t xml:space="preserve">4.8.2 Specification</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INPUT   results: map from provider name to ProviderResult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OUTPUT  Paper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1  papers &lt;- { name: r.paper  for name, r in results  if r.paper is not null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2  if papers is empty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3      raise ResolutionError("no provider returned a record")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4</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5  # Canonical identity: DOI first, since it is the identifier all three share.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6  primary_doi        &lt;- first non-null doi        over papers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7  primary_pmid       &lt;- first non-null pmid       over papers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8  primary_openalex   &lt;- first non-null openalex_id over papers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9  paper_id &lt;- primary_doi or primary_pmid or primary_openalex</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11  # Field-level precedence. Crossref carries publisher-deposited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12  # bibliographic metadata; OpenAlex reconstructs abstracts.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13  title    &lt;- first non-null title    over [crossref, openalex, europe_pmc]</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14  year     &lt;- first non-null year     over [crossref, openalex, europe_pmc]</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15  authors  &lt;- first non-empty authors over [crossref, openalex, europe_pmc]</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16  journal  &lt;- first non-null journal  over [crossref, openalex, europe_pmc]</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17  abstract &lt;- first non-null abstract over [openalex, europe_pmc, crossref]</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18</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19  provenance &lt;- { name: p.provenance[name]  for name, p in papers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20  source_ids &lt;- union of p.source_ids over papers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21  confidence &lt;- 0.95 if |papers| &gt; 1 else 0.80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22</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23  return Paper(paper_id, primary_doi, primary_pmid, primary_openalex,</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24               title, authors, year, journal, abstract,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25               source_ids, confidence, provenance)</w:t>
      </w:r>
    </w:p>
    <w:p>
      <w:pPr>
        <w:pStyle w:val="Heading3"/>
        <w:keepNext/>
        <w:spacing w:after="120" w:before="240"/>
      </w:pPr>
      <w:r>
        <w:rPr>
          <w:rFonts w:ascii="Arial" w:cs="Arial" w:eastAsia="Arial" w:hAnsi="Arial"/>
          <w:b w:val="false"/>
          <w:bCs w:val="false"/>
          <w:color w:val="1F784E"/>
          <w:sz w:val="24"/>
          <w:szCs w:val="24"/>
        </w:rPr>
        <w:t xml:space="preserve">4.8.3 Complexity and notes</w:t>
      </w:r>
    </w:p>
    <w:p>
      <w:pPr>
        <w:spacing w:after="60" w:before="60" w:line="276"/>
      </w:pPr>
      <w:r>
        <w:rPr>
          <w:rFonts w:ascii="Arial" w:cs="Arial" w:eastAsia="Arial" w:hAnsi="Arial"/>
          <w:color w:val="1B2631"/>
          <w:sz w:val="22"/>
          <w:szCs w:val="22"/>
        </w:rPr>
        <w:t xml:space="preserve">O(p · f) for p providers and f fields; p = 3 and f is fixed, so the merge is effectively constant time. The cost of resolution is entirely the network I/O that precedes it, which is why the three provider queries are issued concurrently (Section 4.3.1).</w:t>
      </w:r>
    </w:p>
    <w:p>
      <w:pPr>
        <w:spacing w:after="60" w:before="60" w:line="276"/>
      </w:pPr>
      <w:r>
        <w:rPr>
          <w:rFonts w:ascii="Arial" w:cs="Arial" w:eastAsia="Arial" w:hAnsi="Arial"/>
          <w:color w:val="1B2631"/>
          <w:sz w:val="22"/>
          <w:szCs w:val="22"/>
        </w:rPr>
        <w:t xml:space="preserve">The confidence heuristic at line 21, 0.95 when more than one provider returned a record, 0.80 otherwise, is agreement-as-confidence, and it is weak. It rewards two providers returning a record, not two providers agreeing on its contents. A stronger formulation would compare the fields themselves and reduce confidence on disagreement. This is not implemented.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4.9 Algorithm 2: Level-Synchronous Citation Traversal</w:t>
      </w:r>
    </w:p>
    <w:p>
      <w:pPr>
        <w:pStyle w:val="Heading3"/>
        <w:keepNext/>
        <w:spacing w:after="120" w:before="240"/>
      </w:pPr>
      <w:r>
        <w:rPr>
          <w:rFonts w:ascii="Arial" w:cs="Arial" w:eastAsia="Arial" w:hAnsi="Arial"/>
          <w:b w:val="false"/>
          <w:bCs w:val="false"/>
          <w:color w:val="1F784E"/>
          <w:sz w:val="24"/>
          <w:szCs w:val="24"/>
        </w:rPr>
        <w:t xml:space="preserve">4.9.1 Problem</w:t>
      </w:r>
    </w:p>
    <w:p>
      <w:pPr>
        <w:spacing w:after="60" w:before="60" w:line="276"/>
      </w:pPr>
      <w:r>
        <w:rPr>
          <w:rFonts w:ascii="Arial" w:cs="Arial" w:eastAsia="Arial" w:hAnsi="Arial"/>
          <w:color w:val="1B2631"/>
          <w:sz w:val="22"/>
          <w:szCs w:val="22"/>
        </w:rPr>
        <w:t xml:space="preserve">Expand outward from a seed paper in both directions to bounded depth, under a bounded total number of papers, collapsing multiple identifiers for one work onto a single node, and emitting no edge whose endpoints are not both present.</w:t>
      </w:r>
    </w:p>
    <w:p>
      <w:pPr>
        <w:pStyle w:val="Heading3"/>
        <w:keepNext/>
        <w:spacing w:after="120" w:before="240"/>
      </w:pPr>
      <w:r>
        <w:rPr>
          <w:rFonts w:ascii="Arial" w:cs="Arial" w:eastAsia="Arial" w:hAnsi="Arial"/>
          <w:b w:val="false"/>
          <w:bCs w:val="false"/>
          <w:color w:val="1F784E"/>
          <w:sz w:val="24"/>
          <w:szCs w:val="24"/>
        </w:rPr>
        <w:t xml:space="preserve">4.9.2 Specification</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INPUT   seed, backward_depth, forward_depth, max_papers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OUTPUT  papers: map paper_id -&gt; Paper,  edges: list of CitationEdge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1  register(seed)                       # stores paper + all its aliases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2  frontier[backward] &lt;- [seed.id] if backward_depth &gt; 0 else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3  frontier[forward]  &lt;- [seed.id] if forward_depth  &gt; 0 else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4  budget &lt;- allocate(backward_depth, forward_depth, max_papers)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5  spent  &lt;- { backward: 0, forward: 0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6</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7  for depth in 0 .. max(backward_depth, forward_depth) - 1 do</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8      for direction in [backward, forward] do</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9          if depth &gt;= depth_limit[direction] or frontier[direction] empty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10              frontier[direction] &lt;- [];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11          if |papers| &gt;= max_papers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12              frontier[direction] &lt;- [];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13</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14          # Release the other direction's reservation once it is exhausted,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15          # so a paper with no citing works still gets a full reference tree.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16          other &lt;- the opposite direction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17          if frontier[other] non-empty and depth &lt; depth_limit[other]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18              allowance &lt;- budget[direction] - spent[direction]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19          else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20              allowance &lt;- max_papers - |papers|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21          if allowance &lt;= 0 then frontier[direction] &lt;- [];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22</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23          limit &lt;- min(max_papers, |papers| + allowance)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24          before &lt;- |papers|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25          frontier[direction] &lt;- EXPAND(frontier[direction], direction, limit)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26          spent[direction] &lt;- spent[direction] + (|papers| - before)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27</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28  return papers, edges</w:t>
      </w:r>
    </w:p>
    <w:p>
      <w:pPr>
        <w:spacing w:after="60" w:before="60" w:line="276"/>
      </w:pPr>
      <w:r>
        <w:rPr>
          <w:rFonts w:ascii="Arial" w:cs="Arial" w:eastAsia="Arial" w:hAnsi="Arial"/>
          <w:color w:val="1B2631"/>
          <w:sz w:val="22"/>
          <w:szCs w:val="22"/>
        </w:rPr>
        <w:t xml:space="preserve">EXPAND is where the batching lives:</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EXPAND(frontier, direction, limit):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1  # One request per frontier paper, issued concurrently (semaphore = 5).</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2  raw_edges &lt;- concurrent_fetch(frontier, direction)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3  if raw_edges empty then return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4</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5  # Collect every neighbour identifier not already resolved.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6  pending &lt;-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7  for edge in raw_edges do</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8      n &lt;- edge.target if direction = backward else edge.source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9      if canonical(n) is null and n not in unresolvable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10          append canonicalise(n) to pending</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12  added &lt;-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13  if pending non-empty and |papers| &lt; limit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14      added &lt;- RESOLVE_BATCH(pending, limit)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15</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16  COMMIT_EDGES(raw_edges, direction)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17  return added</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RESOLVE_BATCH(pending, limit):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1  partition pending into work_ids (W...), dois (10....), others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2</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3  # 50 identifiers per request instead of one request per paper.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4  if work_ids non-empty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5      for paper in openalex.batch_by_work_id(work_ids) do ABSORB(paper)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6  if dois non-empty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7      for paper in openalex.batch_by_doi(dois)      do ABSORB(paper)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8</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9  # Only identifiers the batch endpoints missed reach the slow path.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10  leftovers &lt;- pending not resolved above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11  for paper in concurrent_resolve_full(leftovers) do ABSORB(paper)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12</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13  mark every still-unresolved identifier as unresolvable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14  return newly added paper_ids</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ABSORB(raw_id, paper):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1  if paper.paper_id not already stored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2      # Duplicate check runs BEFORE the budget check, so a merged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3      # duplicate never consumes one of the max_papers slots.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4      dup &lt;- duplicate_of(paper)          # title-prefix + year agreement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5      if dup is not null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6          alias(paper.paper_id -&gt; dup); alias(raw_id -&gt; dup)</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7          duplicates_merged &lt;- duplicates_merged + 1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8          return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9      if |papers| &gt;= limit then return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10      register(paper); append paper.paper_id to added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11  alias(raw_id -&gt; paper.paper_id)</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COMMIT_EDGES(raw_edges, direction):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1  for edge in raw_edges do</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2      s &lt;- canonical(edge.source);  t &lt;- canonical(edge.target)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3      # An edge is emitted only if BOTH endpoints resolved. This is what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4      # guarantees zero dangling edges in the output.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5      if s is null or t is null or s = t then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6      if (s, t) already emitted then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7      rewrite edge endpoints to (s, t); append to edges</w:t>
      </w:r>
    </w:p>
    <w:p>
      <w:pPr>
        <w:pStyle w:val="Heading3"/>
        <w:keepNext/>
        <w:spacing w:after="120" w:before="240"/>
      </w:pPr>
      <w:r>
        <w:rPr>
          <w:rFonts w:ascii="Arial" w:cs="Arial" w:eastAsia="Arial" w:hAnsi="Arial"/>
          <w:b w:val="false"/>
          <w:bCs w:val="false"/>
          <w:color w:val="1F784E"/>
          <w:sz w:val="24"/>
          <w:szCs w:val="24"/>
        </w:rPr>
        <w:t xml:space="preserve">4.9.3 Complexity</w:t>
      </w:r>
    </w:p>
    <w:p>
      <w:pPr>
        <w:spacing w:after="60" w:before="60" w:line="276"/>
      </w:pPr>
      <w:r>
        <w:rPr>
          <w:rFonts w:ascii="Arial" w:cs="Arial" w:eastAsia="Arial" w:hAnsi="Arial"/>
          <w:color w:val="1B2631"/>
          <w:sz w:val="22"/>
          <w:szCs w:val="22"/>
        </w:rPr>
        <w:t xml:space="preserve">Let N be max</w:t>
      </w:r>
      <w:r>
        <w:rPr>
          <w:rFonts w:ascii="Arial" w:cs="Arial" w:eastAsia="Arial" w:hAnsi="Arial"/>
          <w:color w:val="1B2631"/>
          <w:sz w:val="22"/>
          <w:szCs w:val="22"/>
        </w:rPr>
        <w:t xml:space="preserve">_</w:t>
      </w:r>
      <w:r>
        <w:rPr>
          <w:rFonts w:ascii="Arial" w:cs="Arial" w:eastAsia="Arial" w:hAnsi="Arial"/>
          <w:color w:val="1B2631"/>
          <w:sz w:val="22"/>
          <w:szCs w:val="22"/>
        </w:rPr>
        <w:t xml:space="preserve">papers and F the mean out-degree per expanded paper.</w:t>
      </w:r>
    </w:p>
    <w:p>
      <w:pPr>
        <w:pStyle w:val="ListParagraph"/>
        <w:numPr>
          <w:ilvl w:val="0"/>
          <w:numId w:val="3"/>
        </w:numPr>
        <w:spacing w:after="20" w:before="20" w:line="276"/>
      </w:pPr>
      <w:r>
        <w:rPr>
          <w:rFonts w:ascii="Arial" w:cs="Arial" w:eastAsia="Arial" w:hAnsi="Arial"/>
          <w:color w:val="1B2631"/>
          <w:sz w:val="22"/>
          <w:szCs w:val="22"/>
        </w:rPr>
        <w:t xml:space="preserve">Edge fetches: one request per frontier paper, O(N) requests in the worst</w:t>
      </w:r>
    </w:p>
    <w:p>
      <w:pPr>
        <w:spacing w:after="60" w:before="60" w:line="276"/>
      </w:pPr>
      <w:r>
        <w:rPr>
          <w:rFonts w:ascii="Arial" w:cs="Arial" w:eastAsia="Arial" w:hAnsi="Arial"/>
          <w:color w:val="1B2631"/>
          <w:sz w:val="22"/>
          <w:szCs w:val="22"/>
        </w:rPr>
        <w:t xml:space="preserve">case, issued with concurrency 5.</w:t>
      </w:r>
    </w:p>
    <w:p>
      <w:pPr>
        <w:pStyle w:val="ListParagraph"/>
        <w:numPr>
          <w:ilvl w:val="0"/>
          <w:numId w:val="3"/>
        </w:numPr>
        <w:spacing w:after="20" w:before="20" w:line="276"/>
      </w:pPr>
      <w:r>
        <w:rPr>
          <w:rFonts w:ascii="Arial" w:cs="Arial" w:eastAsia="Arial" w:hAnsi="Arial"/>
          <w:color w:val="1B2631"/>
          <w:sz w:val="22"/>
          <w:szCs w:val="22"/>
        </w:rPr>
        <w:t xml:space="preserve">Metadata fetches: O(N / 50) batched requests: the decisive improvement.</w:t>
      </w:r>
    </w:p>
    <w:p>
      <w:pPr>
        <w:spacing w:after="60" w:before="60" w:line="276"/>
      </w:pPr>
      <w:r>
        <w:rPr>
          <w:rFonts w:ascii="Arial" w:cs="Arial" w:eastAsia="Arial" w:hAnsi="Arial"/>
          <w:color w:val="1B2631"/>
          <w:sz w:val="22"/>
          <w:szCs w:val="22"/>
        </w:rPr>
        <w:t xml:space="preserve">The pre-batching implementation issued O(N) individual resolutions, each querying three providers, for O(3*N*) requests.</w:t>
      </w:r>
    </w:p>
    <w:p>
      <w:pPr>
        <w:pStyle w:val="ListParagraph"/>
        <w:numPr>
          <w:ilvl w:val="0"/>
          <w:numId w:val="3"/>
        </w:numPr>
        <w:spacing w:after="20" w:before="20" w:line="276"/>
      </w:pPr>
      <w:r>
        <w:rPr>
          <w:rFonts w:ascii="Arial" w:cs="Arial" w:eastAsia="Arial" w:hAnsi="Arial"/>
          <w:color w:val="1B2631"/>
          <w:sz w:val="22"/>
          <w:szCs w:val="22"/>
        </w:rPr>
        <w:t xml:space="preserve">Edge dedup: O(1) per edge via a hash set of committed pairs. The original</w:t>
      </w:r>
    </w:p>
    <w:p>
      <w:pPr>
        <w:spacing w:after="60" w:before="60" w:line="276"/>
      </w:pPr>
      <w:r>
        <w:rPr>
          <w:rFonts w:ascii="Arial" w:cs="Arial" w:eastAsia="Arial" w:hAnsi="Arial"/>
          <w:color w:val="1B2631"/>
          <w:sz w:val="22"/>
          <w:szCs w:val="22"/>
        </w:rPr>
        <w:t xml:space="preserve">implementation scanned the committed list linearly per edge, which is O(*E*²).</w:t>
      </w:r>
    </w:p>
    <w:p>
      <w:pPr>
        <w:pStyle w:val="Heading3"/>
        <w:keepNext/>
        <w:spacing w:after="120" w:before="240"/>
      </w:pPr>
      <w:r>
        <w:rPr>
          <w:rFonts w:ascii="Arial" w:cs="Arial" w:eastAsia="Arial" w:hAnsi="Arial"/>
          <w:b w:val="false"/>
          <w:bCs w:val="false"/>
          <w:color w:val="1F784E"/>
          <w:sz w:val="24"/>
          <w:szCs w:val="24"/>
        </w:rPr>
        <w:t xml:space="preserve">4.9.4 Failure modes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Failure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Handling</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Provider returns an unparseable identifier</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Recorded as unresolvable; not retried on later levels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One malformed record in a batch of 50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Per-record try/except; the other 49 survive (§5.4)</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Same work under two identifiers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Alias table collapses them to one node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Same work under two DOIs with near-identical titles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Title-prefix match with year agreement</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 heavily cited seed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Forward results are sorted by citation count and capped</w:t>
            </w:r>
          </w:p>
        </w:tc>
      </w:tr>
    </w:tbl>
    <w:p>
      <w:pPr>
        <w:spacing w:before="12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4.10 Algorithm 3: Population Candidate Extraction</w:t>
      </w:r>
    </w:p>
    <w:p>
      <w:pPr>
        <w:pStyle w:val="Heading3"/>
        <w:keepNext/>
        <w:spacing w:after="120" w:before="240"/>
      </w:pPr>
      <w:r>
        <w:rPr>
          <w:rFonts w:ascii="Arial" w:cs="Arial" w:eastAsia="Arial" w:hAnsi="Arial"/>
          <w:b w:val="false"/>
          <w:bCs w:val="false"/>
          <w:color w:val="1F784E"/>
          <w:sz w:val="24"/>
          <w:szCs w:val="24"/>
        </w:rPr>
        <w:t xml:space="preserve">4.10.1 Specification</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INPUT   paper_id, text, section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OUTPUT  list of PopulationCandidate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1  if text is empty then return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2  sentences &lt;- split(text)              # spaCy if available, else regex</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3  candidates &lt;-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4</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5  for sentence in sentences do</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6      # Spans that must not be read as populations: years, percentages,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7      # p-values, dosages. Computed per span, NOT per sentence -- see 4.10.3.</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8      ignore_spans &lt;- { match.span()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9                        for pattern in IGNORE_PATTERNS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10                        for match in finditer(pattern, sentence)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12      for pat in POPULATION_PATTERNS do</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13          for m in finditer(pat.regex, sentence, IGNORECASE) do</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14              (ns, ne) &lt;- m.span(1)          # span of the captured number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15              if (ns, ne) overlaps any ignore_span then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16              value &lt;- int(strip_separators(m.group(1)))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17              if value &lt;= 0 or value &gt; 10_000_000 then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18              confidence &lt;- min(1.0, pat.weight + section_bonus(section))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19              append PopulationCandidate(value, m.group(0), sentence,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20                                         section, pat.type, ns, ne,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21                                         confidence) to candidates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22</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23  return candidates</w:t>
      </w:r>
    </w:p>
    <w:p>
      <w:pPr>
        <w:pStyle w:val="Heading3"/>
        <w:keepNext/>
        <w:spacing w:after="120" w:before="240"/>
      </w:pPr>
      <w:r>
        <w:rPr>
          <w:rFonts w:ascii="Arial" w:cs="Arial" w:eastAsia="Arial" w:hAnsi="Arial"/>
          <w:b w:val="false"/>
          <w:bCs w:val="false"/>
          <w:color w:val="1F784E"/>
          <w:sz w:val="24"/>
          <w:szCs w:val="24"/>
        </w:rPr>
        <w:t xml:space="preserve">4.10.2 Complexity</w:t>
      </w:r>
    </w:p>
    <w:p>
      <w:pPr>
        <w:spacing w:after="60" w:before="60" w:line="276"/>
      </w:pPr>
      <w:r>
        <w:rPr>
          <w:rFonts w:ascii="Arial" w:cs="Arial" w:eastAsia="Arial" w:hAnsi="Arial"/>
          <w:color w:val="1B2631"/>
          <w:sz w:val="22"/>
          <w:szCs w:val="22"/>
        </w:rPr>
        <w:t xml:space="preserve">O(S · P · L) for S sentences, P patterns (20) and sentence length L. Linear in text length for a fixed pattern set. Measured at roughly 200 ms per abstract (Section 6.6.1), which is slow for regular expressions and is dominated by spaCy sentence segmentation rather than by matching.</w:t>
      </w:r>
    </w:p>
    <w:p>
      <w:pPr>
        <w:pStyle w:val="Heading3"/>
        <w:keepNext/>
        <w:spacing w:after="120" w:before="240"/>
      </w:pPr>
      <w:r>
        <w:rPr>
          <w:rFonts w:ascii="Arial" w:cs="Arial" w:eastAsia="Arial" w:hAnsi="Arial"/>
          <w:b w:val="false"/>
          <w:bCs w:val="false"/>
          <w:color w:val="1F784E"/>
          <w:sz w:val="24"/>
          <w:szCs w:val="24"/>
        </w:rPr>
        <w:t xml:space="preserve">4.10.3 The span-versus-sentence decision</w:t>
      </w:r>
    </w:p>
    <w:p>
      <w:pPr>
        <w:spacing w:after="60" w:before="60" w:line="276"/>
      </w:pPr>
      <w:r>
        <w:rPr>
          <w:rFonts w:ascii="Arial" w:cs="Arial" w:eastAsia="Arial" w:hAnsi="Arial"/>
          <w:color w:val="1B2631"/>
          <w:sz w:val="22"/>
          <w:szCs w:val="22"/>
        </w:rPr>
        <w:t xml:space="preserve">Lines 8–15 encode the single most consequential correction made to this algorithm. The original implementation evaluated the ignore patterns against the whole sentence and skipped every candidate in it on a match. Because IGNORE</w:t>
      </w:r>
      <w:r>
        <w:rPr>
          <w:rFonts w:ascii="Arial" w:cs="Arial" w:eastAsia="Arial" w:hAnsi="Arial"/>
          <w:color w:val="1B2631"/>
          <w:sz w:val="22"/>
          <w:szCs w:val="22"/>
        </w:rPr>
        <w:t xml:space="preserve">_</w:t>
      </w:r>
      <w:r>
        <w:rPr>
          <w:rFonts w:ascii="Arial" w:cs="Arial" w:eastAsia="Arial" w:hAnsi="Arial"/>
          <w:color w:val="1B2631"/>
          <w:sz w:val="22"/>
          <w:szCs w:val="22"/>
        </w:rPr>
        <w:t xml:space="preserve">PATTERNS contains \b20\d{2}\b, and clinical abstracts mention a year in most sentences, the rule discarded the very numbers it existed to protect. Section 5.5 gives the measurement. Evaluating per span preserves the intent, a year is never read as a population, without the collateral loss.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4.11 Algorithm 4: Population Resolution</w:t>
      </w:r>
    </w:p>
    <w:p>
      <w:pPr>
        <w:pStyle w:val="Heading3"/>
        <w:keepNext/>
        <w:spacing w:after="120" w:before="240"/>
      </w:pPr>
      <w:r>
        <w:rPr>
          <w:rFonts w:ascii="Arial" w:cs="Arial" w:eastAsia="Arial" w:hAnsi="Arial"/>
          <w:b w:val="false"/>
          <w:bCs w:val="false"/>
          <w:color w:val="1F784E"/>
          <w:sz w:val="24"/>
          <w:szCs w:val="24"/>
        </w:rPr>
        <w:t xml:space="preserve">4.11.1 Specification</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INPUT   paper_id, candidates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OUTPUT  PopulationResolution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1  if candidates empty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2      return Resolution(n_eff=null, confidence=0.0, status="missing")</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3</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4  filtered &lt;- [ c in candidates if c.confidence &gt; 0.40 ]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5  if filtered empty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6      return Resolution(n_eff=null, confidence=0.0, status="missing")</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7</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8  # Score combines extraction confidence with the clinical informativeness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9  # of the semantic type: a randomised total outranks an arm size.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10  score(c) = c.confidence * (1 + TYPE_PRIORITY[c.semantic_type] / 10)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12  best &lt;- argmax(filtered, score)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13</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14  # Ambiguity: a rival scoring within 10% but differing materially in value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15  # signals an unclear abstract, not a system failure.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16  ambiguous &lt;- exists c in filtered, c != best, such that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17                   score(c) &gt; 0.9 * score(best)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18               and |c.value - best.value| &gt; 0.1 * best.value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19</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20  return Resolution(n_eff=best.value, semantic_type=best.semantic_type,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21                    confidence=best.confidence,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22                    status = "ambiguous" if ambiguous else "resolved")</w:t>
      </w:r>
    </w:p>
    <w:p>
      <w:pPr>
        <w:spacing w:after="60" w:before="60" w:line="276"/>
      </w:pPr>
      <w:r>
        <w:rPr>
          <w:rFonts w:ascii="Arial" w:cs="Arial" w:eastAsia="Arial" w:hAnsi="Arial"/>
          <w:color w:val="1B2631"/>
          <w:sz w:val="22"/>
          <w:szCs w:val="22"/>
        </w:rPr>
        <w:t xml:space="preserve">with type priorities: TOTAL</w:t>
      </w:r>
      <w:r>
        <w:rPr>
          <w:rFonts w:ascii="Arial" w:cs="Arial" w:eastAsia="Arial" w:hAnsi="Arial"/>
          <w:color w:val="1B2631"/>
          <w:sz w:val="22"/>
          <w:szCs w:val="22"/>
        </w:rPr>
        <w:t xml:space="preserve">_</w:t>
      </w:r>
      <w:r>
        <w:rPr>
          <w:rFonts w:ascii="Arial" w:cs="Arial" w:eastAsia="Arial" w:hAnsi="Arial"/>
          <w:color w:val="1B2631"/>
          <w:sz w:val="22"/>
          <w:szCs w:val="22"/>
        </w:rPr>
        <w:t xml:space="preserve">RANDOMIZED 10, TOTAL</w:t>
      </w:r>
      <w:r>
        <w:rPr>
          <w:rFonts w:ascii="Arial" w:cs="Arial" w:eastAsia="Arial" w:hAnsi="Arial"/>
          <w:color w:val="1B2631"/>
          <w:sz w:val="22"/>
          <w:szCs w:val="22"/>
        </w:rPr>
        <w:t xml:space="preserve">_</w:t>
      </w:r>
      <w:r>
        <w:rPr>
          <w:rFonts w:ascii="Arial" w:cs="Arial" w:eastAsia="Arial" w:hAnsi="Arial"/>
          <w:color w:val="1B2631"/>
          <w:sz w:val="22"/>
          <w:szCs w:val="22"/>
        </w:rPr>
        <w:t xml:space="preserve">ANALYZED 9, TOTAL</w:t>
      </w:r>
      <w:r>
        <w:rPr>
          <w:rFonts w:ascii="Arial" w:cs="Arial" w:eastAsia="Arial" w:hAnsi="Arial"/>
          <w:color w:val="1B2631"/>
          <w:sz w:val="22"/>
          <w:szCs w:val="22"/>
        </w:rPr>
        <w:t xml:space="preserve">_</w:t>
      </w:r>
      <w:r>
        <w:rPr>
          <w:rFonts w:ascii="Arial" w:cs="Arial" w:eastAsia="Arial" w:hAnsi="Arial"/>
          <w:color w:val="1B2631"/>
          <w:sz w:val="22"/>
          <w:szCs w:val="22"/>
        </w:rPr>
        <w:t xml:space="preserve">ENROLLED 8, SAMPLE</w:t>
      </w:r>
      <w:r>
        <w:rPr>
          <w:rFonts w:ascii="Arial" w:cs="Arial" w:eastAsia="Arial" w:hAnsi="Arial"/>
          <w:color w:val="1B2631"/>
          <w:sz w:val="22"/>
          <w:szCs w:val="22"/>
        </w:rPr>
        <w:t xml:space="preserve">_</w:t>
      </w:r>
      <w:r>
        <w:rPr>
          <w:rFonts w:ascii="Arial" w:cs="Arial" w:eastAsia="Arial" w:hAnsi="Arial"/>
          <w:color w:val="1B2631"/>
          <w:sz w:val="22"/>
          <w:szCs w:val="22"/>
        </w:rPr>
        <w:t xml:space="preserve">SIZE</w:t>
      </w:r>
      <w:r>
        <w:rPr>
          <w:rFonts w:ascii="Arial" w:cs="Arial" w:eastAsia="Arial" w:hAnsi="Arial"/>
          <w:color w:val="1B2631"/>
          <w:sz w:val="22"/>
          <w:szCs w:val="22"/>
        </w:rPr>
        <w:t xml:space="preserve">_</w:t>
      </w:r>
      <w:r>
        <w:rPr>
          <w:rFonts w:ascii="Arial" w:cs="Arial" w:eastAsia="Arial" w:hAnsi="Arial"/>
          <w:color w:val="1B2631"/>
          <w:sz w:val="22"/>
          <w:szCs w:val="22"/>
        </w:rPr>
        <w:t xml:space="preserve">GENERIC 7, ARM</w:t>
      </w:r>
      <w:r>
        <w:rPr>
          <w:rFonts w:ascii="Arial" w:cs="Arial" w:eastAsia="Arial" w:hAnsi="Arial"/>
          <w:color w:val="1B2631"/>
          <w:sz w:val="22"/>
          <w:szCs w:val="22"/>
        </w:rPr>
        <w:t xml:space="preserve">_</w:t>
      </w:r>
      <w:r>
        <w:rPr>
          <w:rFonts w:ascii="Arial" w:cs="Arial" w:eastAsia="Arial" w:hAnsi="Arial"/>
          <w:color w:val="1B2631"/>
          <w:sz w:val="22"/>
          <w:szCs w:val="22"/>
        </w:rPr>
        <w:t xml:space="preserve">SIZE 5, SCREENED 4, COMPLETERS 3, FOLLOWUP</w:t>
      </w:r>
      <w:r>
        <w:rPr>
          <w:rFonts w:ascii="Arial" w:cs="Arial" w:eastAsia="Arial" w:hAnsi="Arial"/>
          <w:color w:val="1B2631"/>
          <w:sz w:val="22"/>
          <w:szCs w:val="22"/>
        </w:rPr>
        <w:t xml:space="preserve">_</w:t>
      </w:r>
      <w:r>
        <w:rPr>
          <w:rFonts w:ascii="Arial" w:cs="Arial" w:eastAsia="Arial" w:hAnsi="Arial"/>
          <w:color w:val="1B2631"/>
          <w:sz w:val="22"/>
          <w:szCs w:val="22"/>
        </w:rPr>
        <w:t xml:space="preserve">COUNT 2, EVENT</w:t>
      </w:r>
      <w:r>
        <w:rPr>
          <w:rFonts w:ascii="Arial" w:cs="Arial" w:eastAsia="Arial" w:hAnsi="Arial"/>
          <w:color w:val="1B2631"/>
          <w:sz w:val="22"/>
          <w:szCs w:val="22"/>
        </w:rPr>
        <w:t xml:space="preserve">_</w:t>
      </w:r>
      <w:r>
        <w:rPr>
          <w:rFonts w:ascii="Arial" w:cs="Arial" w:eastAsia="Arial" w:hAnsi="Arial"/>
          <w:color w:val="1B2631"/>
          <w:sz w:val="22"/>
          <w:szCs w:val="22"/>
        </w:rPr>
        <w:t xml:space="preserve">COUNT 1, UNKNOWN</w:t>
      </w:r>
      <w:r>
        <w:rPr>
          <w:rFonts w:ascii="Arial" w:cs="Arial" w:eastAsia="Arial" w:hAnsi="Arial"/>
          <w:color w:val="1B2631"/>
          <w:sz w:val="22"/>
          <w:szCs w:val="22"/>
        </w:rPr>
        <w:t xml:space="preserve">_</w:t>
      </w:r>
      <w:r>
        <w:rPr>
          <w:rFonts w:ascii="Arial" w:cs="Arial" w:eastAsia="Arial" w:hAnsi="Arial"/>
          <w:color w:val="1B2631"/>
          <w:sz w:val="22"/>
          <w:szCs w:val="22"/>
        </w:rPr>
        <w:t xml:space="preserve">NUMERIC 0.</w:t>
      </w:r>
    </w:p>
    <w:p>
      <w:pPr>
        <w:pStyle w:val="Heading3"/>
        <w:keepNext/>
        <w:spacing w:after="120" w:before="240"/>
      </w:pPr>
      <w:r>
        <w:rPr>
          <w:rFonts w:ascii="Arial" w:cs="Arial" w:eastAsia="Arial" w:hAnsi="Arial"/>
          <w:b w:val="false"/>
          <w:bCs w:val="false"/>
          <w:color w:val="1F784E"/>
          <w:sz w:val="24"/>
          <w:szCs w:val="24"/>
        </w:rPr>
        <w:t xml:space="preserve">4.11.2 Known weakness</w:t>
      </w:r>
    </w:p>
    <w:p>
      <w:pPr>
        <w:spacing w:after="60" w:before="60" w:line="276"/>
      </w:pPr>
      <w:r>
        <w:rPr>
          <w:rFonts w:ascii="Arial" w:cs="Arial" w:eastAsia="Arial" w:hAnsi="Arial"/>
          <w:color w:val="1B2631"/>
          <w:sz w:val="22"/>
          <w:szCs w:val="22"/>
        </w:rPr>
        <w:t xml:space="preserve">This algorithm produced the single value error in the evaluation (Section 6.4.2). For a case series of 138 patients whose abstract also reports many subgroup counts, the selection returned 36. The scoring rewards pattern confidence and type priority but has no notion of which number the abstract is about, a subgroup count matched by a high-priority pattern outranks the cohort total matched by a lower-priority one. Position in the abstract, and the relationship between competing values, are both unused signals.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4.12 Algorithm 5: Bounded Path Ranking</w:t>
      </w:r>
    </w:p>
    <w:p>
      <w:pPr>
        <w:pStyle w:val="Heading3"/>
        <w:keepNext/>
        <w:spacing w:after="120" w:before="240"/>
      </w:pPr>
      <w:r>
        <w:rPr>
          <w:rFonts w:ascii="Arial" w:cs="Arial" w:eastAsia="Arial" w:hAnsi="Arial"/>
          <w:b w:val="false"/>
          <w:bCs w:val="false"/>
          <w:color w:val="1F784E"/>
          <w:sz w:val="24"/>
          <w:szCs w:val="24"/>
        </w:rPr>
        <w:t xml:space="preserve">4.12.1 Problem</w:t>
      </w:r>
    </w:p>
    <w:p>
      <w:pPr>
        <w:spacing w:after="60" w:before="60" w:line="276"/>
      </w:pPr>
      <w:r>
        <w:rPr>
          <w:rFonts w:ascii="Arial" w:cs="Arial" w:eastAsia="Arial" w:hAnsi="Arial"/>
          <w:color w:val="1B2631"/>
          <w:sz w:val="22"/>
          <w:szCs w:val="22"/>
        </w:rPr>
        <w:t xml:space="preserve">Rank citation paths from the seed by evidential strength, returning the top k, without enumerating a combinatorial number of paths.</w:t>
      </w:r>
    </w:p>
    <w:p>
      <w:pPr>
        <w:pStyle w:val="Heading3"/>
        <w:keepNext/>
        <w:spacing w:after="120" w:before="240"/>
      </w:pPr>
      <w:r>
        <w:rPr>
          <w:rFonts w:ascii="Arial" w:cs="Arial" w:eastAsia="Arial" w:hAnsi="Arial"/>
          <w:b w:val="false"/>
          <w:bCs w:val="false"/>
          <w:color w:val="1F784E"/>
          <w:sz w:val="24"/>
          <w:szCs w:val="24"/>
        </w:rPr>
        <w:t xml:space="preserve">4.12.2 Specification</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INPUT   graph, seed_id, top_n = 10, cutoff = 4</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OUTPUT  ranked list of at most top_n paths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1  if seed_id not in graph then return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2  heap &lt;- empty min-heap ordered by score, capacity top_n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3  examined &lt;- 0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4</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5  # ONE depth-first traversal yields every simple path from the seed.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6  # Calling all_simple_paths(seed, target) per target re-walks the whole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7  # reachable subgraph once per node -- see 4.12.3.</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8  stack &lt;- [ [seed_id]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9  while stack non-empty do</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10      path &lt;- pop(stack)</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11      if |path| &gt; 1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12          examined &lt;- examined + 1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13          if examined &gt; MAX_PATHS_EXAMINED then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14              log truncation; break</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15          score &lt;- SCORE_PATH(path)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16          if |heap| &lt; top_n then push(heap, score, path)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17          else if score &gt; min(heap).score then replace_min(heap, score, path)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18      if |path| - 1 &gt;= cutoff then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19      for succ in successors(last(path)) do</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20          if succ not in path then push(stack, path + [succ])</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22  # Build result dictionaries only for the survivors, not for every path.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23  return sorted(heap, by score desc)</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SCORE_PATH(path):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1  weights     &lt;- [ edge_weight(path[i], path[i+1]) for i in 0..|path|-2 ]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2  confidences &lt;- [ edge_conf(path[i], path[i+1])   for i in 0..|path|-2 ]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3  avg_weight  &lt;- mean(weights)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4  path_conf   &lt;- product(confidences)     # confidence compounds along a path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5  depth_bonus &lt;- 1 / sqrt(|path|)         # shorter paths preferred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6  return avg_weight * path_conf * depth_bonus</w:t>
      </w:r>
    </w:p>
    <w:p>
      <w:pPr>
        <w:pStyle w:val="Heading3"/>
        <w:keepNext/>
        <w:spacing w:after="120" w:before="240"/>
      </w:pPr>
      <w:r>
        <w:rPr>
          <w:rFonts w:ascii="Arial" w:cs="Arial" w:eastAsia="Arial" w:hAnsi="Arial"/>
          <w:b w:val="false"/>
          <w:bCs w:val="false"/>
          <w:color w:val="1F784E"/>
          <w:sz w:val="24"/>
          <w:szCs w:val="24"/>
        </w:rPr>
        <w:t xml:space="preserve">4.12.3 Complexity</w:t>
      </w:r>
    </w:p>
    <w:p>
      <w:pPr>
        <w:spacing w:after="60" w:before="60" w:line="276"/>
      </w:pPr>
      <w:r>
        <w:rPr>
          <w:rFonts w:ascii="Arial" w:cs="Arial" w:eastAsia="Arial" w:hAnsi="Arial"/>
          <w:color w:val="1B2631"/>
          <w:sz w:val="22"/>
          <w:szCs w:val="22"/>
        </w:rPr>
        <w:t xml:space="preserve">The replacement is O(P) in the number of simple paths within the cutoff, with O(top</w:t>
      </w:r>
      <w:r>
        <w:rPr>
          <w:rFonts w:ascii="Arial" w:cs="Arial" w:eastAsia="Arial" w:hAnsi="Arial"/>
          <w:color w:val="1B2631"/>
          <w:sz w:val="22"/>
          <w:szCs w:val="22"/>
        </w:rPr>
        <w:t xml:space="preserve">_</w:t>
      </w:r>
      <w:r>
        <w:rPr>
          <w:rFonts w:ascii="Arial" w:cs="Arial" w:eastAsia="Arial" w:hAnsi="Arial"/>
          <w:color w:val="1B2631"/>
          <w:sz w:val="22"/>
          <w:szCs w:val="22"/>
        </w:rPr>
        <w:t xml:space="preserve">n) memory. The original was O(V · P): all</w:t>
      </w:r>
      <w:r>
        <w:rPr>
          <w:rFonts w:ascii="Arial" w:cs="Arial" w:eastAsia="Arial" w:hAnsi="Arial"/>
          <w:color w:val="1B2631"/>
          <w:sz w:val="22"/>
          <w:szCs w:val="22"/>
        </w:rPr>
        <w:t xml:space="preserve">_</w:t>
      </w:r>
      <w:r>
        <w:rPr>
          <w:rFonts w:ascii="Arial" w:cs="Arial" w:eastAsia="Arial" w:hAnsi="Arial"/>
          <w:color w:val="1B2631"/>
          <w:sz w:val="22"/>
          <w:szCs w:val="22"/>
        </w:rPr>
        <w:t xml:space="preserve">simple</w:t>
      </w:r>
      <w:r>
        <w:rPr>
          <w:rFonts w:ascii="Arial" w:cs="Arial" w:eastAsia="Arial" w:hAnsi="Arial"/>
          <w:color w:val="1B2631"/>
          <w:sz w:val="22"/>
          <w:szCs w:val="22"/>
        </w:rPr>
        <w:t xml:space="preserve">_</w:t>
      </w:r>
      <w:r>
        <w:rPr>
          <w:rFonts w:ascii="Arial" w:cs="Arial" w:eastAsia="Arial" w:hAnsi="Arial"/>
          <w:color w:val="1B2631"/>
          <w:sz w:val="22"/>
          <w:szCs w:val="22"/>
        </w:rPr>
        <w:t xml:space="preserve">paths was called once per target vertex, and each call re-explored the entire reachable subgraph to depth 4, yielding only the paths terminating at that target. It also materialised a result dictionary, including a title lookup per node, for every path before sorting and discarding all but ten.</w:t>
      </w:r>
    </w:p>
    <w:p>
      <w:pPr>
        <w:spacing w:after="60" w:before="60" w:line="276"/>
      </w:pPr>
      <w:r>
        <w:rPr>
          <w:rFonts w:ascii="Arial" w:cs="Arial" w:eastAsia="Arial" w:hAnsi="Arial"/>
          <w:color w:val="1B2631"/>
          <w:sz w:val="22"/>
          <w:szCs w:val="22"/>
        </w:rPr>
        <w:t xml:space="preserve">Measured on layered synthetic graphs (Section 6.6.4), the redesign is 126× to 434× faster, with the gap widening as the graph grows, and returns an identical top-ten verified against the exhaustive computation.</w:t>
      </w:r>
    </w:p>
    <w:p>
      <w:pPr>
        <w:spacing w:after="60" w:before="60" w:line="276"/>
      </w:pPr>
      <w:r>
        <w:rPr>
          <w:rFonts w:ascii="Arial" w:cs="Arial" w:eastAsia="Arial" w:hAnsi="Arial"/>
          <w:color w:val="1B2631"/>
          <w:sz w:val="22"/>
          <w:szCs w:val="22"/>
        </w:rPr>
        <w:t xml:space="preserve">The MAX</w:t>
      </w:r>
      <w:r>
        <w:rPr>
          <w:rFonts w:ascii="Arial" w:cs="Arial" w:eastAsia="Arial" w:hAnsi="Arial"/>
          <w:color w:val="1B2631"/>
          <w:sz w:val="22"/>
          <w:szCs w:val="22"/>
        </w:rPr>
        <w:t xml:space="preserve">_</w:t>
      </w:r>
      <w:r>
        <w:rPr>
          <w:rFonts w:ascii="Arial" w:cs="Arial" w:eastAsia="Arial" w:hAnsi="Arial"/>
          <w:color w:val="1B2631"/>
          <w:sz w:val="22"/>
          <w:szCs w:val="22"/>
        </w:rPr>
        <w:t xml:space="preserve">PATHS</w:t>
      </w:r>
      <w:r>
        <w:rPr>
          <w:rFonts w:ascii="Arial" w:cs="Arial" w:eastAsia="Arial" w:hAnsi="Arial"/>
          <w:color w:val="1B2631"/>
          <w:sz w:val="22"/>
          <w:szCs w:val="22"/>
        </w:rPr>
        <w:t xml:space="preserve">_</w:t>
      </w:r>
      <w:r>
        <w:rPr>
          <w:rFonts w:ascii="Arial" w:cs="Arial" w:eastAsia="Arial" w:hAnsi="Arial"/>
          <w:color w:val="1B2631"/>
          <w:sz w:val="22"/>
          <w:szCs w:val="22"/>
        </w:rPr>
        <w:t xml:space="preserve">EXAMINED cap at line 13 is a safety valve rather than an optimisation. A densely interlinked citation graph can contain an astronomical number of simple paths; without a bound, one pathological input hangs the run. When the cap triggers it is logged, so a truncated ranking is never presented as exhaustive.</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5: Implementation</w:t>
      </w:r>
    </w:p>
    <w:p>
      <w:pPr>
        <w:spacing w:after="60" w:before="60" w:line="276"/>
      </w:pPr>
      <w:r>
        <w:rPr>
          <w:rFonts w:ascii="Arial" w:cs="Arial" w:eastAsia="Arial" w:hAnsi="Arial"/>
          <w:color w:val="1B2631"/>
          <w:sz w:val="22"/>
          <w:szCs w:val="22"/>
        </w:rPr>
        <w:t xml:space="preserve">This chapter describes the delivered implementation and, in Sections 5.3 to 5.8, the defects found when the system was systematically instrumented and measured. The defects are reported in full because they are the most transferable part of the work: each was invisible to a passing test suite, and each produced output that looked plausible.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Choice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Language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Python 3.10+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Ecosystem for NLP and graph analysis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FastAPI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Native async, automatic OpenAPI, Pydantic integration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Validation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Pydantic v2</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Validation at construction rather than at use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HTTP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httpx (async)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Concurrent provider queries, connection pooling</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NetworkX [hagberg2008networkx]</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Mature PageRank and path algorithms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Persistence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SQLite + aiosqlite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Sufficient for run records; no server to operate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Retry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Tenacity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Declarative retry policy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React, TypeScript, Vite, TanStack Router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Visualisation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Cytoscape.js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Interactive graph rendering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pytest, pytest-asyncio, respx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102 tests; respx mocks HTTP at transport level</w:t>
            </w:r>
          </w:p>
        </w:tc>
      </w:tr>
    </w:tbl>
    <w:p>
      <w:pPr>
        <w:spacing w:before="120"/>
      </w:pPr>
      <w:r>
        <w:t xml:space="preserve"/>
      </w:r>
    </w:p>
    <w:p>
      <w:pPr>
        <w:spacing w:after="60" w:before="60" w:line="276"/>
      </w:pPr>
      <w:r>
        <w:rPr>
          <w:rFonts w:ascii="Arial" w:cs="Arial" w:eastAsia="Arial" w:hAnsi="Arial"/>
          <w:color w:val="1B2631"/>
          <w:sz w:val="22"/>
          <w:szCs w:val="22"/>
        </w:rPr>
        <w:t xml:space="preserve">NetworkX was chosen over a graph database because the working set is bounded at 200 nodes. At that scale an in-memory graph is faster than any database round trip, and Section 6.6 confirms the choice: all graph analytics together account for 2.5% of runtime. Neo4j appears in the configuration but is not implemented.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5.2 Pipeline Orchestration</w:t>
      </w:r>
    </w:p>
    <w:p>
      <w:pPr>
        <w:spacing w:after="60" w:before="60" w:line="276"/>
      </w:pPr>
      <w:r>
        <w:rPr>
          <w:rFonts w:ascii="Arial" w:cs="Arial" w:eastAsia="Arial" w:hAnsi="Arial"/>
          <w:color w:val="1B2631"/>
          <w:sz w:val="22"/>
          <w:szCs w:val="22"/>
        </w:rPr>
        <w:t xml:space="preserve">The orchestrator executes nine stages in sequence: normalise input, resolve seed, traverse citations, backfill abstracts, extract populations, resolve populations, weight edges, build graph, run analytics. Each stage is a separate module; the orchestrator holds no domain logic beyond sequencing and the assembly of warnings.</w:t>
      </w:r>
    </w:p>
    <w:p>
      <w:pPr>
        <w:spacing w:after="60" w:before="60" w:line="276"/>
      </w:pPr>
      <w:r>
        <w:rPr>
          <w:rFonts w:ascii="Arial" w:cs="Arial" w:eastAsia="Arial" w:hAnsi="Arial"/>
          <w:color w:val="1B2631"/>
          <w:sz w:val="22"/>
          <w:szCs w:val="22"/>
        </w:rPr>
        <w:t xml:space="preserve">Runs execute as background tasks. A POST returns a run identifier immediately, and the client polls. This is necessary because runs take tens of seconds to minutes, Section 6.6 characterises the distribution, which far exceeds a reasonable HTTP timeout.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5.3 Defect 1: Traversal Discarding the Majority of Every Graph</w:t>
      </w:r>
    </w:p>
    <w:p>
      <w:pPr>
        <w:pStyle w:val="Heading3"/>
        <w:keepNext/>
        <w:spacing w:after="120" w:before="240"/>
      </w:pPr>
      <w:r>
        <w:rPr>
          <w:rFonts w:ascii="Arial" w:cs="Arial" w:eastAsia="Arial" w:hAnsi="Arial"/>
          <w:b w:val="false"/>
          <w:bCs w:val="false"/>
          <w:color w:val="1F784E"/>
          <w:sz w:val="24"/>
          <w:szCs w:val="24"/>
        </w:rPr>
        <w:t xml:space="preserve">5.3.1 Symptom</w:t>
      </w:r>
    </w:p>
    <w:p>
      <w:pPr>
        <w:spacing w:after="60" w:before="60" w:line="276"/>
      </w:pPr>
      <w:r>
        <w:rPr>
          <w:rFonts w:ascii="Arial" w:cs="Arial" w:eastAsia="Arial" w:hAnsi="Arial"/>
          <w:color w:val="1B2631"/>
          <w:sz w:val="22"/>
          <w:szCs w:val="22"/>
        </w:rPr>
        <w:t xml:space="preserve">The system produced graphs containing far fewer nodes than expected. For some inputs it produced a graph containing only the seed paper. This was the presenting symptom that prompted the measurement campaign.</w:t>
      </w:r>
    </w:p>
    <w:p>
      <w:pPr>
        <w:pStyle w:val="Heading3"/>
        <w:keepNext/>
        <w:spacing w:after="120" w:before="240"/>
      </w:pPr>
      <w:r>
        <w:rPr>
          <w:rFonts w:ascii="Arial" w:cs="Arial" w:eastAsia="Arial" w:hAnsi="Arial"/>
          <w:b w:val="false"/>
          <w:bCs w:val="false"/>
          <w:color w:val="1F784E"/>
          <w:sz w:val="24"/>
          <w:szCs w:val="24"/>
        </w:rPr>
        <w:t xml:space="preserve">5.3.2 Diagnosis</w:t>
      </w:r>
    </w:p>
    <w:p>
      <w:pPr>
        <w:spacing w:after="60" w:before="60" w:line="276"/>
      </w:pPr>
      <w:r>
        <w:rPr>
          <w:rFonts w:ascii="Arial" w:cs="Arial" w:eastAsia="Arial" w:hAnsi="Arial"/>
          <w:color w:val="1B2631"/>
          <w:sz w:val="22"/>
          <w:szCs w:val="22"/>
        </w:rPr>
        <w:t xml:space="preserve">OpenAlex returns references as OpenAlex work identifiers (W2741809807), not DOIs. The traversal inferred a query type from the identifier's shape:</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if target_id.startswith("10."):   query_type = "doi"</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elif target_id.isdigit():         query_type = "pmid"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else:                             query_type = "doi"   # W-ids land here</w:t>
      </w:r>
    </w:p>
    <w:p>
      <w:pPr>
        <w:spacing w:after="60" w:before="60" w:line="276"/>
      </w:pPr>
      <w:r>
        <w:rPr>
          <w:rFonts w:ascii="Arial" w:cs="Arial" w:eastAsia="Arial" w:hAnsi="Arial"/>
          <w:color w:val="1B2631"/>
          <w:sz w:val="22"/>
          <w:szCs w:val="22"/>
        </w:rPr>
        <w:t xml:space="preserve">A work identifier fell to the final branch and was validated against the DOI regular expression, which rejected it. The resulting exception was caught by a broad handler and logged at warning level, so the paper was silently dropped.</w:t>
      </w:r>
    </w:p>
    <w:p>
      <w:pPr>
        <w:spacing w:after="60" w:before="60" w:line="276"/>
      </w:pPr>
      <w:r>
        <w:rPr>
          <w:rFonts w:ascii="Arial" w:cs="Arial" w:eastAsia="Arial" w:hAnsi="Arial"/>
          <w:color w:val="1B2631"/>
          <w:sz w:val="22"/>
          <w:szCs w:val="22"/>
        </w:rPr>
        <w:t xml:space="preserve">Measurement on a representative seed:</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target identifier kinds : {'W-id': 21, 'doi': 19}</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constructible as a query: 19     REJECTED: 21</w:t>
      </w:r>
    </w:p>
    <w:p>
      <w:pPr>
        <w:spacing w:after="60" w:before="60" w:line="276"/>
      </w:pPr>
      <w:r>
        <w:rPr>
          <w:rFonts w:ascii="Arial" w:cs="Arial" w:eastAsia="Arial" w:hAnsi="Arial"/>
          <w:color w:val="1B2631"/>
          <w:sz w:val="22"/>
          <w:szCs w:val="22"/>
        </w:rPr>
        <w:t xml:space="preserve">Every OpenAlex-sourced reference was discarded. Only Crossref's DOI-formatted references survived. Where Crossref holds no reference list, which is common, since deposit is at publisher discretion, the result was a graph of one node:</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references for PMID 32109013 : OpenAlex 21, Crossref 0  -&gt;  usable nodes 0</w:t>
      </w:r>
    </w:p>
    <w:p>
      <w:pPr>
        <w:pStyle w:val="Heading3"/>
        <w:keepNext/>
        <w:spacing w:after="120" w:before="240"/>
      </w:pPr>
      <w:r>
        <w:rPr>
          <w:rFonts w:ascii="Arial" w:cs="Arial" w:eastAsia="Arial" w:hAnsi="Arial"/>
          <w:b w:val="false"/>
          <w:bCs w:val="false"/>
          <w:color w:val="1F784E"/>
          <w:sz w:val="24"/>
          <w:szCs w:val="24"/>
        </w:rPr>
        <w:t xml:space="preserve">5.3.3 A second, independent defect in the same component</w:t>
      </w:r>
    </w:p>
    <w:p>
      <w:pPr>
        <w:spacing w:after="60" w:before="60" w:line="276"/>
      </w:pPr>
      <w:r>
        <w:rPr>
          <w:rFonts w:ascii="Arial" w:cs="Arial" w:eastAsia="Arial" w:hAnsi="Arial"/>
          <w:color w:val="1B2631"/>
          <w:sz w:val="22"/>
          <w:szCs w:val="22"/>
        </w:rPr>
        <w:t xml:space="preserve">Forward citations were always empty. The OpenAlex cites filter accepts work identifiers only, but the code passed a DOI-prefixed form:</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filter=cites:doi:10.1056/nejmoa2002032   -&gt;  HTTP 200, meta.count = 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filter=cites:W3008827533                 -&gt;  HTTP 200, meta.count = 30606</w:t>
      </w:r>
    </w:p>
    <w:p>
      <w:pPr>
        <w:spacing w:after="60" w:before="60" w:line="276"/>
      </w:pPr>
      <w:r>
        <w:rPr>
          <w:rFonts w:ascii="Arial" w:cs="Arial" w:eastAsia="Arial" w:hAnsi="Arial"/>
          <w:color w:val="1B2631"/>
          <w:sz w:val="22"/>
          <w:szCs w:val="22"/>
        </w:rPr>
        <w:t xml:space="preserve">This is the more instructive of the two faults. The malformed query returned HTTP 200 with a count of zero rather than an error. No exception was raised, no log line was emitted, and the system reported "this paper has no citing works", a statement that is occasionally true and therefore unremarkable.</w:t>
      </w:r>
    </w:p>
    <w:p>
      <w:pPr>
        <w:pStyle w:val="Heading3"/>
        <w:keepNext/>
        <w:spacing w:after="120" w:before="240"/>
      </w:pPr>
      <w:r>
        <w:rPr>
          <w:rFonts w:ascii="Arial" w:cs="Arial" w:eastAsia="Arial" w:hAnsi="Arial"/>
          <w:b w:val="false"/>
          <w:bCs w:val="false"/>
          <w:color w:val="1F784E"/>
          <w:sz w:val="24"/>
          <w:szCs w:val="24"/>
        </w:rPr>
        <w:t xml:space="preserve">5.3.4 Resolution</w:t>
      </w:r>
    </w:p>
    <w:p>
      <w:pPr>
        <w:spacing w:after="60" w:before="60" w:line="276"/>
      </w:pPr>
      <w:r>
        <w:rPr>
          <w:rFonts w:ascii="Arial" w:cs="Arial" w:eastAsia="Arial" w:hAnsi="Arial"/>
          <w:color w:val="1B2631"/>
          <w:sz w:val="22"/>
          <w:szCs w:val="22"/>
        </w:rPr>
        <w:t xml:space="preserve">The traversal was rewritten as the level-synchronous BFS described in Section 4.4, with an alias table collapsing all identifier forms onto one canonical paper</w:t>
      </w:r>
      <w:r>
        <w:rPr>
          <w:rFonts w:ascii="Arial" w:cs="Arial" w:eastAsia="Arial" w:hAnsi="Arial"/>
          <w:color w:val="1B2631"/>
          <w:sz w:val="22"/>
          <w:szCs w:val="22"/>
        </w:rPr>
        <w:t xml:space="preserve">_</w:t>
      </w:r>
      <w:r>
        <w:rPr>
          <w:rFonts w:ascii="Arial" w:cs="Arial" w:eastAsia="Arial" w:hAnsi="Arial"/>
          <w:color w:val="1B2631"/>
          <w:sz w:val="22"/>
          <w:szCs w:val="22"/>
        </w:rPr>
        <w:t xml:space="preserve">id, and metadata fetched in batches of fifty through the OpenAlex openalex</w:t>
      </w:r>
      <w:r>
        <w:rPr>
          <w:rFonts w:ascii="Arial" w:cs="Arial" w:eastAsia="Arial" w:hAnsi="Arial"/>
          <w:color w:val="1B2631"/>
          <w:sz w:val="22"/>
          <w:szCs w:val="22"/>
        </w:rPr>
        <w:t xml:space="preserve">_</w:t>
      </w:r>
      <w:r>
        <w:rPr>
          <w:rFonts w:ascii="Arial" w:cs="Arial" w:eastAsia="Arial" w:hAnsi="Arial"/>
          <w:color w:val="1B2631"/>
          <w:sz w:val="22"/>
          <w:szCs w:val="22"/>
        </w:rPr>
        <w:t xml:space="preserve">id and doi filters. Forward citation queries resolve the seed to a work identifier before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Measure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Before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After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Forward citations (seed)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34</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Edges with a resolved endpoint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262 with dangling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163, none dangling</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Runtime, 100-paper run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273 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55 s</w:t>
            </w:r>
          </w:p>
        </w:tc>
      </w:tr>
    </w:tbl>
    <w:p>
      <w:pPr>
        <w:spacing w:before="12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5.4 Defect 2: A Single Null Field Discarding Batches of Fifty</w:t>
      </w:r>
    </w:p>
    <w:p>
      <w:pPr>
        <w:pStyle w:val="Heading3"/>
        <w:keepNext/>
        <w:spacing w:after="120" w:before="240"/>
      </w:pPr>
      <w:r>
        <w:rPr>
          <w:rFonts w:ascii="Arial" w:cs="Arial" w:eastAsia="Arial" w:hAnsi="Arial"/>
          <w:b w:val="false"/>
          <w:bCs w:val="false"/>
          <w:color w:val="1F784E"/>
          <w:sz w:val="24"/>
          <w:szCs w:val="24"/>
        </w:rPr>
        <w:t xml:space="preserve">5.4.1 Symptom</w:t>
      </w:r>
    </w:p>
    <w:p>
      <w:pPr>
        <w:spacing w:after="60" w:before="60" w:line="276"/>
      </w:pPr>
      <w:r>
        <w:rPr>
          <w:rFonts w:ascii="Arial" w:cs="Arial" w:eastAsia="Arial" w:hAnsi="Arial"/>
          <w:color w:val="1B2631"/>
          <w:sz w:val="22"/>
          <w:szCs w:val="22"/>
        </w:rPr>
        <w:t xml:space="preserve">After the traversal rewrite, one test paper still returned zero forward citations although OpenAlex reported 53 citing works.</w:t>
      </w:r>
    </w:p>
    <w:p>
      <w:pPr>
        <w:pStyle w:val="Heading3"/>
        <w:keepNext/>
        <w:spacing w:after="120" w:before="240"/>
      </w:pPr>
      <w:r>
        <w:rPr>
          <w:rFonts w:ascii="Arial" w:cs="Arial" w:eastAsia="Arial" w:hAnsi="Arial"/>
          <w:b w:val="false"/>
          <w:bCs w:val="false"/>
          <w:color w:val="1F784E"/>
          <w:sz w:val="24"/>
          <w:szCs w:val="24"/>
        </w:rPr>
        <w:t xml:space="preserve">5.4.2 Diagnosis</w:t>
      </w:r>
    </w:p>
    <w:p>
      <w:pPr>
        <w:spacing w:after="60" w:before="60" w:line="276"/>
      </w:pPr>
      <w:r>
        <w:rPr>
          <w:rFonts w:ascii="Arial" w:cs="Arial" w:eastAsia="Arial" w:hAnsi="Arial"/>
          <w:color w:val="1B2631"/>
          <w:sz w:val="22"/>
          <w:szCs w:val="22"/>
        </w:rPr>
        <w:t xml:space="preserve">The mapping function read the venue as:</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data.get("primary_location", {}).get("source", {}).get("display_name")</w:t>
      </w:r>
    </w:p>
    <w:p>
      <w:pPr>
        <w:spacing w:after="60" w:before="60" w:line="276"/>
      </w:pPr>
      <w:r>
        <w:rPr>
          <w:rFonts w:ascii="Arial" w:cs="Arial" w:eastAsia="Arial" w:hAnsi="Arial"/>
          <w:color w:val="1B2631"/>
          <w:sz w:val="22"/>
          <w:szCs w:val="22"/>
        </w:rPr>
        <w:t xml:space="preserve">OpenAlex returns "primary</w:t>
      </w:r>
      <w:r>
        <w:rPr>
          <w:rFonts w:ascii="Arial" w:cs="Arial" w:eastAsia="Arial" w:hAnsi="Arial"/>
          <w:color w:val="1B2631"/>
          <w:sz w:val="22"/>
          <w:szCs w:val="22"/>
        </w:rPr>
        <w:t xml:space="preserve">_</w:t>
      </w:r>
      <w:r>
        <w:rPr>
          <w:rFonts w:ascii="Arial" w:cs="Arial" w:eastAsia="Arial" w:hAnsi="Arial"/>
          <w:color w:val="1B2631"/>
          <w:sz w:val="22"/>
          <w:szCs w:val="22"/>
        </w:rPr>
        <w:t xml:space="preserve">location": {"source": null} for works with no indexed venue. dict.get(key, {}) returns the default only when the key is absent; when the key is present with a null value it returns None, and the chained call raises AttributeError.</w:t>
      </w:r>
    </w:p>
    <w:p>
      <w:pPr>
        <w:spacing w:after="60" w:before="60" w:line="276"/>
      </w:pPr>
      <w:r>
        <w:rPr>
          <w:rFonts w:ascii="Arial" w:cs="Arial" w:eastAsia="Arial" w:hAnsi="Arial"/>
          <w:color w:val="1B2631"/>
          <w:sz w:val="22"/>
          <w:szCs w:val="22"/>
        </w:rPr>
        <w:t xml:space="preserve">Because the exception was caught around the whole batch, one malformed record discarded the other forty-nine:</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fetched 50 citing works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primary_location.source is null : 23</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mapping each work individually  : ok=27  FAILED=23</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-&gt; one bad record aborts the whole batch of 50</w:t>
      </w:r>
    </w:p>
    <w:p>
      <w:pPr>
        <w:spacing w:after="60" w:before="60" w:line="276"/>
      </w:pPr>
      <w:r>
        <w:rPr>
          <w:rFonts w:ascii="Arial" w:cs="Arial" w:eastAsia="Arial" w:hAnsi="Arial"/>
          <w:color w:val="1B2631"/>
          <w:sz w:val="22"/>
          <w:szCs w:val="22"/>
        </w:rPr>
        <w:t xml:space="preserve">Twenty-three of fifty records had a null venue. This is not an edge case.</w:t>
      </w:r>
    </w:p>
    <w:p>
      <w:pPr>
        <w:pStyle w:val="Heading3"/>
        <w:keepNext/>
        <w:spacing w:after="120" w:before="240"/>
      </w:pPr>
      <w:r>
        <w:rPr>
          <w:rFonts w:ascii="Arial" w:cs="Arial" w:eastAsia="Arial" w:hAnsi="Arial"/>
          <w:b w:val="false"/>
          <w:bCs w:val="false"/>
          <w:color w:val="1F784E"/>
          <w:sz w:val="24"/>
          <w:szCs w:val="24"/>
        </w:rPr>
        <w:t xml:space="preserve">5.4.3 Resolution</w:t>
      </w:r>
    </w:p>
    <w:p>
      <w:pPr>
        <w:spacing w:after="60" w:before="60" w:line="276"/>
      </w:pPr>
      <w:r>
        <w:rPr>
          <w:rFonts w:ascii="Arial" w:cs="Arial" w:eastAsia="Arial" w:hAnsi="Arial"/>
          <w:color w:val="1B2631"/>
          <w:sz w:val="22"/>
          <w:szCs w:val="22"/>
        </w:rPr>
        <w:t xml:space="preserve">Null-safe accessors, and a per-record try/except inside the batch loop so a malformed record is skipped and logged rather than aborting its neighbours. The same defect shape was found and fixed in the Crossref and Europe PMC mappers, where it had not yet been triggered.</w:t>
      </w:r>
    </w:p>
    <w:p>
      <w:pPr>
        <w:spacing w:after="60" w:before="60" w:line="276"/>
      </w:pPr>
      <w:r>
        <w:rPr>
          <w:rFonts w:ascii="Arial" w:cs="Arial" w:eastAsia="Arial" w:hAnsi="Arial"/>
          <w:color w:val="1B2631"/>
          <w:sz w:val="22"/>
          <w:szCs w:val="22"/>
        </w:rPr>
        <w:t xml:space="preserve">A secondary effect was discovered at the same time: because batch failures forced a fallback to per-paper resolution, the run had been taking 209 s. After the fix the same run took 12 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5.5 Defect 3: Ignore Rules Discarding the Numbers They Protect</w:t>
      </w:r>
    </w:p>
    <w:p>
      <w:pPr>
        <w:pStyle w:val="Heading3"/>
        <w:keepNext/>
        <w:spacing w:after="120" w:before="240"/>
      </w:pPr>
      <w:r>
        <w:rPr>
          <w:rFonts w:ascii="Arial" w:cs="Arial" w:eastAsia="Arial" w:hAnsi="Arial"/>
          <w:b w:val="false"/>
          <w:bCs w:val="false"/>
          <w:color w:val="1F784E"/>
          <w:sz w:val="24"/>
          <w:szCs w:val="24"/>
        </w:rPr>
        <w:t xml:space="preserve">5.5.1 Symptom</w:t>
      </w:r>
    </w:p>
    <w:p>
      <w:pPr>
        <w:spacing w:after="60" w:before="60" w:line="276"/>
      </w:pPr>
      <w:r>
        <w:rPr>
          <w:rFonts w:ascii="Arial" w:cs="Arial" w:eastAsia="Arial" w:hAnsi="Arial"/>
          <w:color w:val="1B2631"/>
          <w:sz w:val="22"/>
          <w:szCs w:val="22"/>
        </w:rPr>
        <w:t xml:space="preserve">Only 15% of papers in a typical graph received any population evidence.</w:t>
      </w:r>
    </w:p>
    <w:p>
      <w:pPr>
        <w:pStyle w:val="Heading3"/>
        <w:keepNext/>
        <w:spacing w:after="120" w:before="240"/>
      </w:pPr>
      <w:r>
        <w:rPr>
          <w:rFonts w:ascii="Arial" w:cs="Arial" w:eastAsia="Arial" w:hAnsi="Arial"/>
          <w:b w:val="false"/>
          <w:bCs w:val="false"/>
          <w:color w:val="1F784E"/>
          <w:sz w:val="24"/>
          <w:szCs w:val="24"/>
        </w:rPr>
        <w:t xml:space="preserve">5.5.2 Diagnosis</w:t>
      </w:r>
    </w:p>
    <w:p>
      <w:pPr>
        <w:spacing w:after="60" w:before="60" w:line="276"/>
      </w:pPr>
      <w:r>
        <w:rPr>
          <w:rFonts w:ascii="Arial" w:cs="Arial" w:eastAsia="Arial" w:hAnsi="Arial"/>
          <w:color w:val="1B2631"/>
          <w:sz w:val="22"/>
          <w:szCs w:val="22"/>
        </w:rPr>
        <w:t xml:space="preserve">The extractor applied its ignore patterns, years, percentages, p-values, dosages, at sentence granularity:</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for ignore_p in IGNORE_PATTERNS: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re.search(ignore_p, sentence):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should_skip_sentence = True    # discards the entire sentence</w:t>
      </w:r>
    </w:p>
    <w:p>
      <w:pPr>
        <w:spacing w:after="60" w:before="60" w:line="276"/>
      </w:pPr>
      <w:r>
        <w:rPr>
          <w:rFonts w:ascii="Arial" w:cs="Arial" w:eastAsia="Arial" w:hAnsi="Arial"/>
          <w:color w:val="1B2631"/>
          <w:sz w:val="22"/>
          <w:szCs w:val="22"/>
        </w:rPr>
        <w:t xml:space="preserve">IGNORE</w:t>
      </w:r>
      <w:r>
        <w:rPr>
          <w:rFonts w:ascii="Arial" w:cs="Arial" w:eastAsia="Arial" w:hAnsi="Arial"/>
          <w:color w:val="1B2631"/>
          <w:sz w:val="22"/>
          <w:szCs w:val="22"/>
        </w:rPr>
        <w:t xml:space="preserve">_</w:t>
      </w:r>
      <w:r>
        <w:rPr>
          <w:rFonts w:ascii="Arial" w:cs="Arial" w:eastAsia="Arial" w:hAnsi="Arial"/>
          <w:color w:val="1B2631"/>
          <w:sz w:val="22"/>
          <w:szCs w:val="22"/>
        </w:rPr>
        <w:t xml:space="preserve">PATTERNS includes \b20\d{2}\b, matching any year. Clinical abstracts mention a year or a percentage in most sentences. The rule intended to prevent "2019" being read as a sample size was discarding the sample sizes themselves:</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DROPPED  PATIENTS_COUNT=1099 ('1099 patients')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because the sentence also matched '\b20\d{2}\b'</w:t>
      </w:r>
    </w:p>
    <w:p>
      <w:pPr>
        <w:spacing w:after="60" w:before="60" w:line="276"/>
      </w:pPr>
      <w:r>
        <w:rPr>
          <w:rFonts w:ascii="Arial" w:cs="Arial" w:eastAsia="Arial" w:hAnsi="Arial"/>
          <w:color w:val="1B2631"/>
          <w:sz w:val="22"/>
          <w:szCs w:val="22"/>
        </w:rPr>
        <w:t xml:space="preserve">The sentence was "We extracted data regarding 1099 patients with laboratory-confirmed Covid-19 from 552 hospitals ... through January 29, 2020." The pattern matched the cohort size correctly and the extractor then threw it away because of the date at the end of the sentence.</w:t>
      </w:r>
    </w:p>
    <w:p>
      <w:pPr>
        <w:pStyle w:val="Heading3"/>
        <w:keepNext/>
        <w:spacing w:after="120" w:before="240"/>
      </w:pPr>
      <w:r>
        <w:rPr>
          <w:rFonts w:ascii="Arial" w:cs="Arial" w:eastAsia="Arial" w:hAnsi="Arial"/>
          <w:b w:val="false"/>
          <w:bCs w:val="false"/>
          <w:color w:val="1F784E"/>
          <w:sz w:val="24"/>
          <w:szCs w:val="24"/>
        </w:rPr>
        <w:t xml:space="preserve">5.5.3 Resolution</w:t>
      </w:r>
    </w:p>
    <w:p>
      <w:pPr>
        <w:spacing w:after="60" w:before="60" w:line="276"/>
      </w:pPr>
      <w:r>
        <w:rPr>
          <w:rFonts w:ascii="Arial" w:cs="Arial" w:eastAsia="Arial" w:hAnsi="Arial"/>
          <w:color w:val="1B2631"/>
          <w:sz w:val="22"/>
          <w:szCs w:val="22"/>
        </w:rPr>
        <w:t xml:space="preserve">Ignore patterns are now matched per span. A candidate is rejected only when the captured number itself falls inside an ignored span. A year is still never read as a population; a count standing beside a year survives.</w:t>
      </w:r>
    </w:p>
    <w:p>
      <w:pPr>
        <w:spacing w:after="60" w:before="60" w:line="276"/>
      </w:pPr>
      <w:r>
        <w:rPr>
          <w:rFonts w:ascii="Arial" w:cs="Arial" w:eastAsia="Arial" w:hAnsi="Arial"/>
          <w:color w:val="1B2631"/>
          <w:sz w:val="22"/>
          <w:szCs w:val="22"/>
        </w:rPr>
        <w:t xml:space="preserve">Separately, the pattern set assumed randomised-trial phrasing. "We analyzed data on the first 425 confirmed cases" matched nothing, because no pattern covered cases. Patterns were added for the phrasings observational papers use, a total of N, N confirmed cases, N subjects, N consecutive patients, included/recruited/studied N, data on N, along with patterns for SCREENED, COMPLETERS, ARM</w:t>
      </w:r>
      <w:r>
        <w:rPr>
          <w:rFonts w:ascii="Arial" w:cs="Arial" w:eastAsia="Arial" w:hAnsi="Arial"/>
          <w:color w:val="1B2631"/>
          <w:sz w:val="22"/>
          <w:szCs w:val="22"/>
        </w:rPr>
        <w:t xml:space="preserve">_</w:t>
      </w:r>
      <w:r>
        <w:rPr>
          <w:rFonts w:ascii="Arial" w:cs="Arial" w:eastAsia="Arial" w:hAnsi="Arial"/>
          <w:color w:val="1B2631"/>
          <w:sz w:val="22"/>
          <w:szCs w:val="22"/>
        </w:rPr>
        <w:t xml:space="preserve">SIZE and FOLLOWUP</w:t>
      </w:r>
      <w:r>
        <w:rPr>
          <w:rFonts w:ascii="Arial" w:cs="Arial" w:eastAsia="Arial" w:hAnsi="Arial"/>
          <w:color w:val="1B2631"/>
          <w:sz w:val="22"/>
          <w:szCs w:val="22"/>
        </w:rPr>
        <w:t xml:space="preserve">_</w:t>
      </w:r>
      <w:r>
        <w:rPr>
          <w:rFonts w:ascii="Arial" w:cs="Arial" w:eastAsia="Arial" w:hAnsi="Arial"/>
          <w:color w:val="1B2631"/>
          <w:sz w:val="22"/>
          <w:szCs w:val="22"/>
        </w:rPr>
        <w:t xml:space="preserve">COUNT, four semantic types the model defined but which no pattern could previously emit. | Measure (40-paper graph) | Before | After | |--------------------------|-------:|------:| | Papers with extracted evidence | 7 | 15 | | Of those with an abstract | 7/29 | 15/29 | | High confidence (≥ 0.8) | 3 | 10 |</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5.6 Defect 4: Edge Weights Collapsing to Zero</w:t>
      </w:r>
    </w:p>
    <w:p>
      <w:pPr>
        <w:pStyle w:val="Heading3"/>
        <w:keepNext/>
        <w:spacing w:after="120" w:before="240"/>
      </w:pPr>
      <w:r>
        <w:rPr>
          <w:rFonts w:ascii="Arial" w:cs="Arial" w:eastAsia="Arial" w:hAnsi="Arial"/>
          <w:b w:val="false"/>
          <w:bCs w:val="false"/>
          <w:color w:val="1F784E"/>
          <w:sz w:val="24"/>
          <w:szCs w:val="24"/>
        </w:rPr>
        <w:t xml:space="preserve">5.6.1 Symptom</w:t>
      </w:r>
    </w:p>
    <w:p>
      <w:pPr>
        <w:spacing w:after="60" w:before="60" w:line="276"/>
      </w:pPr>
      <w:r>
        <w:rPr>
          <w:rFonts w:ascii="Arial" w:cs="Arial" w:eastAsia="Arial" w:hAnsi="Arial"/>
          <w:color w:val="1B2631"/>
          <w:sz w:val="22"/>
          <w:szCs w:val="22"/>
        </w:rPr>
        <w:t xml:space="preserve">None. This defect produced no visible symptom, which is why it is the most instructive in the catalogue.</w:t>
      </w:r>
    </w:p>
    <w:p>
      <w:pPr>
        <w:pStyle w:val="Heading3"/>
        <w:keepNext/>
        <w:spacing w:after="120" w:before="240"/>
      </w:pPr>
      <w:r>
        <w:rPr>
          <w:rFonts w:ascii="Arial" w:cs="Arial" w:eastAsia="Arial" w:hAnsi="Arial"/>
          <w:b w:val="false"/>
          <w:bCs w:val="false"/>
          <w:color w:val="1F784E"/>
          <w:sz w:val="24"/>
          <w:szCs w:val="24"/>
        </w:rPr>
        <w:t xml:space="preserve">5.6.2 Diagnosis</w:t>
      </w:r>
    </w:p>
    <w:p>
      <w:pPr>
        <w:spacing w:after="60" w:before="60" w:line="276"/>
      </w:pPr>
      <w:r>
        <w:rPr>
          <w:rFonts w:ascii="Arial" w:cs="Arial" w:eastAsia="Arial" w:hAnsi="Arial"/>
          <w:color w:val="1B2631"/>
          <w:sz w:val="22"/>
          <w:szCs w:val="22"/>
        </w:rPr>
        <w:t xml:space="preserve">The original weighting multiplied the entire base weight by population confidence. A resolution with status missing carries confidence 0.0 by definition, so:</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resolution with no candidates -&gt; n_eff=None  confidence=0.0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P1-&gt;P2  base=0.125  FINAL=0.0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P1-&gt;P3  base=0.125  FINAL=0.0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P2-&gt;P3  base=0.125  FINAL=0.0</w:t>
      </w:r>
    </w:p>
    <w:p>
      <w:pPr>
        <w:spacing w:after="60" w:before="60" w:line="276"/>
      </w:pPr>
      <w:r>
        <w:rPr>
          <w:rFonts w:ascii="Arial" w:cs="Arial" w:eastAsia="Arial" w:hAnsi="Arial"/>
          <w:color w:val="1B2631"/>
          <w:sz w:val="22"/>
          <w:szCs w:val="22"/>
        </w:rPr>
        <w:t xml:space="preserve">Every edge weight was exactly zero for any paper where extraction found nothing, which, before Defect 3 was fixed, was 85% of papers.</w:t>
      </w:r>
    </w:p>
    <w:p>
      <w:pPr>
        <w:spacing w:after="60" w:before="60" w:line="276"/>
      </w:pPr>
      <w:r>
        <w:rPr>
          <w:rFonts w:ascii="Arial" w:cs="Arial" w:eastAsia="Arial" w:hAnsi="Arial"/>
          <w:color w:val="1B2631"/>
          <w:sz w:val="22"/>
          <w:szCs w:val="22"/>
        </w:rPr>
        <w:t xml:space="preserve">The ranking nonetheless produced sensible output, and this is why the fault survived. The graph builder contained:</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weight=edge.final_weight or 1.0</w:t>
      </w:r>
    </w:p>
    <w:p>
      <w:pPr>
        <w:spacing w:after="60" w:before="60" w:line="276"/>
      </w:pPr>
      <w:r>
        <w:rPr>
          <w:rFonts w:ascii="Arial" w:cs="Arial" w:eastAsia="Arial" w:hAnsi="Arial"/>
          <w:color w:val="1B2631"/>
          <w:sz w:val="22"/>
          <w:szCs w:val="22"/>
        </w:rPr>
        <w:t xml:space="preserve">In Python, 0.0 or 1.0 evaluates to 1.0. Every zeroed weight was silently replaced by 1.0, and PageRank ran unweighted. The system's central claim, evidence-weighted citation analysis, was not operating, and the fallback that concealed it was an accident of truthiness rather than a designed behaviour.</w:t>
      </w:r>
    </w:p>
    <w:p>
      <w:pPr>
        <w:pStyle w:val="Heading3"/>
        <w:keepNext/>
        <w:spacing w:after="120" w:before="240"/>
      </w:pPr>
      <w:r>
        <w:rPr>
          <w:rFonts w:ascii="Arial" w:cs="Arial" w:eastAsia="Arial" w:hAnsi="Arial"/>
          <w:b w:val="false"/>
          <w:bCs w:val="false"/>
          <w:color w:val="1F784E"/>
          <w:sz w:val="24"/>
          <w:szCs w:val="24"/>
        </w:rPr>
        <w:t xml:space="preserve">5.6.3 Resolution</w:t>
      </w:r>
    </w:p>
    <w:p>
      <w:pPr>
        <w:spacing w:after="60" w:before="60" w:line="276"/>
      </w:pPr>
      <w:r>
        <w:rPr>
          <w:rFonts w:ascii="Arial" w:cs="Arial" w:eastAsia="Arial" w:hAnsi="Arial"/>
          <w:color w:val="1B2631"/>
          <w:sz w:val="22"/>
          <w:szCs w:val="22"/>
        </w:rPr>
        <w:t xml:space="preserve">Confidence now scales the evidential term only, as in Section 4.5. The builder falls back only on a genuine None, so a real zero can no longer be disguised.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Case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n_eff</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confidence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final weight</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evidence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0.125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Small trial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0.391</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Large trial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8,500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0.90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0.655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Very 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0.837</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Large, low confidence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8,500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0.30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0.302</w:t>
            </w:r>
          </w:p>
        </w:tc>
      </w:tr>
    </w:tbl>
    <w:p>
      <w:pPr>
        <w:spacing w:before="120"/>
      </w:pPr>
      <w:r>
        <w:t xml:space="preserve"/>
      </w:r>
    </w:p>
    <w:p>
      <w:pPr>
        <w:spacing w:after="60" w:before="60" w:line="276"/>
      </w:pPr>
      <w:r>
        <w:rPr>
          <w:rFonts w:ascii="Arial" w:cs="Arial" w:eastAsia="Arial" w:hAnsi="Arial"/>
          <w:color w:val="1B2631"/>
          <w:sz w:val="22"/>
          <w:szCs w:val="22"/>
        </w:rPr>
        <w:t xml:space="preserve">Evidence still outranks absence, larger samples outrank smaller, and low confidence is penalised, but nothing collapses to zero.</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5.7 Defect 5: Server-Side Request Forgery in URL Input</w:t>
      </w:r>
    </w:p>
    <w:p>
      <w:pPr>
        <w:spacing w:after="60" w:before="60" w:line="276"/>
      </w:pPr>
      <w:r>
        <w:rPr>
          <w:rFonts w:ascii="Arial" w:cs="Arial" w:eastAsia="Arial" w:hAnsi="Arial"/>
          <w:color w:val="1B2631"/>
          <w:sz w:val="22"/>
          <w:szCs w:val="22"/>
        </w:rPr>
        <w:t xml:space="preserve">Accepting an article URL requires fetching it when no identifier can be parsed from the URL text. The implementation fetched any URL that had a scheme and a host, with redirects followed automatically.</w:t>
      </w:r>
    </w:p>
    <w:p>
      <w:pPr>
        <w:spacing w:after="60" w:before="60" w:line="276"/>
      </w:pPr>
      <w:r>
        <w:rPr>
          <w:rFonts w:ascii="Arial" w:cs="Arial" w:eastAsia="Arial" w:hAnsi="Arial"/>
          <w:color w:val="1B2631"/>
          <w:sz w:val="22"/>
          <w:szCs w:val="22"/>
        </w:rPr>
        <w:t xml:space="preserve">Verified against a local listener:</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PaperQuery ACCEPTS http://127.0.0.1:9911/internal/admin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PaperQuery ACCEPTS http://169.254.169.254/latest/meta-data/</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listener received 1 request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resolver returned: query_type='title' value='Internal Service Banner v2.4'</w:t>
      </w:r>
    </w:p>
    <w:p>
      <w:pPr>
        <w:spacing w:after="60" w:before="60" w:line="276"/>
      </w:pPr>
      <w:r>
        <w:rPr>
          <w:rFonts w:ascii="Arial" w:cs="Arial" w:eastAsia="Arial" w:hAnsi="Arial"/>
          <w:color w:val="1B2631"/>
          <w:sz w:val="22"/>
          <w:szCs w:val="22"/>
        </w:rPr>
        <w:t xml:space="preserve">The system could be directed at loopback, link-local (cloud metadata) or private addresses, and the fetched page's citation</w:t>
      </w:r>
      <w:r>
        <w:rPr>
          <w:rFonts w:ascii="Arial" w:cs="Arial" w:eastAsia="Arial" w:hAnsi="Arial"/>
          <w:color w:val="1B2631"/>
          <w:sz w:val="22"/>
          <w:szCs w:val="22"/>
        </w:rPr>
        <w:t xml:space="preserve">_</w:t>
      </w:r>
      <w:r>
        <w:rPr>
          <w:rFonts w:ascii="Arial" w:cs="Arial" w:eastAsia="Arial" w:hAnsi="Arial"/>
          <w:color w:val="1B2631"/>
          <w:sz w:val="22"/>
          <w:szCs w:val="22"/>
        </w:rPr>
        <w:t xml:space="preserve">title was forwarded to Crossref and Europe PMC as a search term, a narrow but real exfiltration channel.</w:t>
      </w:r>
    </w:p>
    <w:p>
      <w:pPr>
        <w:spacing w:after="60" w:before="60" w:line="276"/>
      </w:pPr>
      <w:r>
        <w:rPr>
          <w:rFonts w:ascii="Arial" w:cs="Arial" w:eastAsia="Arial" w:hAnsi="Arial"/>
          <w:color w:val="1B2631"/>
          <w:sz w:val="22"/>
          <w:szCs w:val="22"/>
        </w:rPr>
        <w:t xml:space="preserve">The resolver now rejects any URL whose host resolves to a private, loopback, link-local, reserved, multicast or unspecified address, and follows redirects manually so every hop is re-validated. A public host that redirects to an internal one is refused at the second hop.</w:t>
      </w:r>
    </w:p>
    <w:p>
      <w:pPr>
        <w:spacing w:after="60" w:before="60" w:line="276"/>
      </w:pPr>
      <w:r>
        <w:rPr>
          <w:rFonts w:ascii="Arial" w:cs="Arial" w:eastAsia="Arial" w:hAnsi="Arial"/>
          <w:color w:val="1B2631"/>
          <w:sz w:val="22"/>
          <w:szCs w:val="22"/>
        </w:rPr>
        <w:t xml:space="preserve">A separate URL defect was found in the same component: the DOI character class includes /, so matching against a URL path ran past the end of the DOI into the publisher's view segment, yielding 10.3389/fcomp.2024.1387354/full and failing the run. Trailing view segments are now trimmed.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5.8 Defect 6: Exports Returning JSON Envelopes</w:t>
      </w:r>
    </w:p>
    <w:p>
      <w:pPr>
        <w:spacing w:after="60" w:before="60" w:line="276"/>
      </w:pPr>
      <w:r>
        <w:rPr>
          <w:rFonts w:ascii="Arial" w:cs="Arial" w:eastAsia="Arial" w:hAnsi="Arial"/>
          <w:color w:val="1B2631"/>
          <w:sz w:val="22"/>
          <w:szCs w:val="22"/>
        </w:rPr>
        <w:t xml:space="preserve">The frontend saved export responses directly to disk as citegraph-&lt;id&gt;.csv, but the backend returned {"csv": "..."}. Users received a .csv file containing a JSON envelope with the whole table escaped onto one line.</w:t>
      </w:r>
    </w:p>
    <w:p>
      <w:pPr>
        <w:spacing w:after="60" w:before="60" w:line="276"/>
      </w:pPr>
      <w:r>
        <w:rPr>
          <w:rFonts w:ascii="Arial" w:cs="Arial" w:eastAsia="Arial" w:hAnsi="Arial"/>
          <w:color w:val="1B2631"/>
          <w:sz w:val="22"/>
          <w:szCs w:val="22"/>
        </w:rPr>
        <w:t xml:space="preserve">All exports now return the file itself with the correct Content-Type and a Content-Disposition filename. Both CSV exports are written with the csv module, so a comma, quote or newline in a title or journal can no longer break a row, the previous hand-rolled formatting never escaped the journal field at all, and carry a UTF-8 byte-order mark so spreadsheet software renders accented author names correctly. An edge-list export and a GraphML export were added; the frontend had offered GraphML as a format although no such route existed.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5.9 Deployment</w:t>
      </w:r>
    </w:p>
    <w:p>
      <w:pPr>
        <w:spacing w:after="60" w:before="60" w:line="276"/>
      </w:pPr>
      <w:r>
        <w:rPr>
          <w:rFonts w:ascii="Arial" w:cs="Arial" w:eastAsia="Arial" w:hAnsi="Arial"/>
          <w:color w:val="1B2631"/>
          <w:sz w:val="22"/>
          <w:szCs w:val="22"/>
        </w:rPr>
        <w:t xml:space="preserve">The backend runs as a Docker container bound to the loopback interface on a shared host, behind nginx with a Let's Encrypt certificate. The frontend is a static single-page application on a content delivery network. Cross-origin access is restricted to the frontend origin; a wildcard policy was replaced because it would allow any page a developer visits to drive a locally running instance and read the responses.</w:t>
      </w:r>
    </w:p>
    <w:p>
      <w:pPr>
        <w:spacing w:after="60" w:before="60" w:line="276"/>
      </w:pPr>
      <w:r>
        <w:rPr>
          <w:rFonts w:ascii="Arial" w:cs="Arial" w:eastAsia="Arial" w:hAnsi="Arial"/>
          <w:color w:val="1B2631"/>
          <w:sz w:val="22"/>
          <w:szCs w:val="22"/>
        </w:rPr>
        <w:t xml:space="preserve">An optional API-key gate exists but is unset in the current deployment, because a public single-page application cannot hold a secret. This is recorded as an open issue in Section 7.5 rather than presented as a completed control.</w:t>
      </w:r>
    </w:p>
    <w:p>
      <w:pPr>
        <w:spacing w:after="60" w:before="60" w:line="276"/>
      </w:pPr>
      <w:r>
        <w:rPr>
          <w:rFonts w:ascii="Arial" w:cs="Arial" w:eastAsia="Arial" w:hAnsi="Arial"/>
          <w:color w:val="1B2631"/>
          <w:sz w:val="22"/>
          <w:szCs w:val="22"/>
        </w:rPr>
        <w:t xml:space="preserve">A defect in the deployment workflow is worth recording alongside the software defects: the container publication directive was -p "${PORT}:8000", which binds 0.0.0.0 and would have exposed the API directly to the internet, bypassing nginx and TLS, on a host shared with three other projects. It now binds 127.0.0.1 explicitly and the deployment fails if the port is found on a public interface.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5.10 Discussion: Why These Defects Survived</w:t>
      </w:r>
    </w:p>
    <w:p>
      <w:pPr>
        <w:spacing w:after="60" w:before="60" w:line="276"/>
      </w:pPr>
      <w:r>
        <w:rPr>
          <w:rFonts w:ascii="Arial" w:cs="Arial" w:eastAsia="Arial" w:hAnsi="Arial"/>
          <w:color w:val="1B2631"/>
          <w:sz w:val="22"/>
          <w:szCs w:val="22"/>
        </w:rPr>
        <w:t xml:space="preserve">Six defects reached a system that passed its tests, and four of them produced output that looked correct. Three properties of the failures explain this.</w:t>
      </w:r>
    </w:p>
    <w:p>
      <w:pPr>
        <w:spacing w:after="60" w:before="60" w:line="276"/>
      </w:pPr>
      <w:r>
        <w:rPr>
          <w:rFonts w:ascii="Arial" w:cs="Arial" w:eastAsia="Arial" w:hAnsi="Arial"/>
          <w:color w:val="1B2631"/>
          <w:sz w:val="22"/>
          <w:szCs w:val="22"/>
        </w:rPr>
        <w:t xml:space="preserve">They failed silently. The traversal defect logged at warning level and continued. The cites filter defect returned HTTP 200. The weighting defect was masked by a truthiness coincidence. None raised an error.</w:t>
      </w:r>
    </w:p>
    <w:p>
      <w:pPr>
        <w:spacing w:after="60" w:before="60" w:line="276"/>
      </w:pPr>
      <w:r>
        <w:rPr>
          <w:rFonts w:ascii="Arial" w:cs="Arial" w:eastAsia="Arial" w:hAnsi="Arial"/>
          <w:color w:val="1B2631"/>
          <w:sz w:val="22"/>
          <w:szCs w:val="22"/>
        </w:rPr>
        <w:t xml:space="preserve">They produced plausible output. A graph with 19 nodes instead of 40 looks like a sparse literature, not a bug. A ranking from unweighted PageRank is still a ranking. Plausible-looking wrong output is harder to detect than a crash.</w:t>
      </w:r>
    </w:p>
    <w:p>
      <w:pPr>
        <w:spacing w:after="60" w:before="60" w:line="276"/>
      </w:pPr>
      <w:r>
        <w:rPr>
          <w:rFonts w:ascii="Arial" w:cs="Arial" w:eastAsia="Arial" w:hAnsi="Arial"/>
          <w:color w:val="1B2631"/>
          <w:sz w:val="22"/>
          <w:szCs w:val="22"/>
        </w:rPr>
        <w:t xml:space="preserve">The tests asserted shape, not correctness. The suite verified that a run completed and returned a structure with the right fields. No test asserted that the number of nodes bore any relation to the number of references available, or that edge weights varied.</w:t>
      </w:r>
    </w:p>
    <w:p>
      <w:pPr>
        <w:spacing w:after="60" w:before="60" w:line="276"/>
      </w:pPr>
      <w:r>
        <w:rPr>
          <w:rFonts w:ascii="Arial" w:cs="Arial" w:eastAsia="Arial" w:hAnsi="Arial"/>
          <w:color w:val="1B2631"/>
          <w:sz w:val="22"/>
          <w:szCs w:val="22"/>
        </w:rPr>
        <w:t xml:space="preserve">The methodological conclusion is that for a system whose output is a ranked list, correctness cannot be established by testing that the pipeline runs. It requires measurement against known quantities, which is what Chapter 6 reports, and what the project proposal had specified from the outset.</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5 (continued): Dashboard and Interaction Design</w:t>
      </w:r>
    </w:p>
    <w:p>
      <w:pPr>
        <w:spacing w:after="60" w:before="60" w:line="276"/>
      </w:pPr>
      <w:r>
        <w:rPr>
          <w:rFonts w:ascii="Arial" w:cs="Arial" w:eastAsia="Arial" w:hAnsi="Arial"/>
          <w:color w:val="1B2631"/>
          <w:sz w:val="22"/>
          <w:szCs w:val="22"/>
        </w:rPr>
        <w:t xml:space="preserve">The analysis pipeline produces a graph, a ranking and a set of confidence-scored extractions. None of that is useful to a reader unless it can be interrogated. This chapter describes the dashboard, and in particular how the uncertainty described in Section 4.7 is represented in the interface.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5.11 Technology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Concern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Choice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Framework</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React 19 + TypeScript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Typed contracts against the API schema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Build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Fast rebuilds; static output deployable to a CDN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Routing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TanStack Router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File-based routes with typed parameters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Server 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TanStack 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Polling, caching and retry for long-running runs</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Styling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Tailwind CSS + shadcn/ui</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Consistent primitives without a heavy component library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 rendering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Cytoscape.js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Handles a few hundred nodes interactively</w:t>
            </w:r>
          </w:p>
        </w:tc>
      </w:tr>
    </w:tbl>
    <w:p>
      <w:pPr>
        <w:spacing w:before="120"/>
      </w:pPr>
      <w:r>
        <w:t xml:space="preserve"/>
      </w:r>
    </w:p>
    <w:p>
      <w:pPr>
        <w:spacing w:after="60" w:before="60" w:line="276"/>
      </w:pPr>
      <w:r>
        <w:rPr>
          <w:rFonts w:ascii="Arial" w:cs="Arial" w:eastAsia="Arial" w:hAnsi="Arial"/>
          <w:color w:val="1B2631"/>
          <w:sz w:val="22"/>
          <w:szCs w:val="22"/>
        </w:rPr>
        <w:t xml:space="preserve">The application is a client-rendered single-page application deployed as static files. It holds no secrets and performs no server-side rendering; every dynamic value comes from the API. This is what allows it to be served from a content delivery network with a catch-all rewrite to index.html.</w:t>
      </w:r>
    </w:p>
    <w:p>
      <w:pPr>
        <w:pStyle w:val="Heading3"/>
        <w:keepNext/>
        <w:spacing w:after="120" w:before="240"/>
      </w:pPr>
      <w:r>
        <w:rPr>
          <w:rFonts w:ascii="Arial" w:cs="Arial" w:eastAsia="Arial" w:hAnsi="Arial"/>
          <w:b w:val="false"/>
          <w:bCs w:val="false"/>
          <w:color w:val="1F784E"/>
          <w:sz w:val="24"/>
          <w:szCs w:val="24"/>
        </w:rPr>
        <w:t xml:space="preserve">5.11.1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Route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Landing page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Submit a paper; configure depth and graph size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/dashboard/$runId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Overview: summary counts, warnings, entry points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/metadata/$runId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Resolved bibliographic records with provenance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/population/$runId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Extracted populations with confidence and status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/graph/$runId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Interactive citation graph</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/rankings/$runId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Ranked foundational papers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/paths/$runId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Ranked citation paths from the seed</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/export/$runId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Downloads in five formats</w:t>
            </w:r>
          </w:p>
        </w:tc>
      </w:tr>
    </w:tbl>
    <w:p>
      <w:pPr>
        <w:spacing w:before="120"/>
      </w:pPr>
      <w:r>
        <w:t xml:space="preserve"/>
      </w:r>
    </w:p>
    <w:p>
      <w:pPr>
        <w:spacing w:after="60" w:before="60" w:line="276"/>
      </w:pPr>
      <w:r>
        <w:rPr>
          <w:rFonts w:ascii="Arial" w:cs="Arial" w:eastAsia="Arial" w:hAnsi="Arial"/>
          <w:color w:val="1B2631"/>
          <w:sz w:val="22"/>
          <w:szCs w:val="22"/>
        </w:rPr>
        <w:t xml:space="preserve">The separation of population from rankings is deliberate. The ranking is the system's headline output, but the population evidence is what the ranking rests on, and a reader who wants to judge the ranking must be able to inspect the evidence independently of it.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5.12 The Submission Flow</w:t>
      </w:r>
    </w:p>
    <w:p>
      <w:pPr>
        <w:spacing w:after="60" w:before="60" w:line="276"/>
      </w:pPr>
      <w:r>
        <w:rPr>
          <w:rFonts w:ascii="Arial" w:cs="Arial" w:eastAsia="Arial" w:hAnsi="Arial"/>
          <w:color w:val="1B2631"/>
          <w:sz w:val="22"/>
          <w:szCs w:val="22"/>
        </w:rPr>
        <w:t xml:space="preserve">/start accepts any of the five input types. Two decisions in this screen proved important.</w:t>
      </w:r>
    </w:p>
    <w:p>
      <w:pPr>
        <w:spacing w:after="60" w:before="60" w:line="276"/>
      </w:pPr>
      <w:r>
        <w:rPr>
          <w:rFonts w:ascii="Arial" w:cs="Arial" w:eastAsia="Arial" w:hAnsi="Arial"/>
          <w:color w:val="1B2631"/>
          <w:sz w:val="22"/>
          <w:szCs w:val="22"/>
        </w:rPr>
        <w:t xml:space="preserve">Clamping is visible, not silent. The graph-size control is a 10–200 slider rather than a free-text field, so the API's clamping (Section 3.2.3) is expressed in the interface rather than applied invisibly to an out-of-range value the user typed. The default of 100 reflects the measurement in Section 6.6.2: 100 papers completes in about 31 s, while 200 takes around 3.5 minutes.</w:t>
      </w:r>
    </w:p>
    <w:p>
      <w:pPr>
        <w:spacing w:after="60" w:before="60" w:line="276"/>
      </w:pPr>
      <w:r>
        <w:rPr>
          <w:rFonts w:ascii="Arial" w:cs="Arial" w:eastAsia="Arial" w:hAnsi="Arial"/>
          <w:color w:val="1B2631"/>
          <w:sz w:val="22"/>
          <w:szCs w:val="22"/>
        </w:rPr>
        <w:t xml:space="preserve">Runs are asynchronous and the wait is honest. Submission returns a run identifier immediately and the client polls. Because a run takes tens of seconds, the interface reports the elapsed time rather than an indeterminate spinner. An indeterminate spinner at 30 s reads as a hang.</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5.13 Representing Uncertainty</w:t>
      </w:r>
    </w:p>
    <w:p>
      <w:pPr>
        <w:spacing w:after="60" w:before="60" w:line="276"/>
      </w:pPr>
      <w:r>
        <w:rPr>
          <w:rFonts w:ascii="Arial" w:cs="Arial" w:eastAsia="Arial" w:hAnsi="Arial"/>
          <w:color w:val="1B2631"/>
          <w:sz w:val="22"/>
          <w:szCs w:val="22"/>
        </w:rPr>
        <w:t xml:space="preserve">This is where the interface does the work that distinguishes the system, and where Section 6.4.4 shows it currently overstates its case.</w:t>
      </w:r>
    </w:p>
    <w:p>
      <w:pPr>
        <w:pStyle w:val="Heading3"/>
        <w:keepNext/>
        <w:spacing w:after="120" w:before="240"/>
      </w:pPr>
      <w:r>
        <w:rPr>
          <w:rFonts w:ascii="Arial" w:cs="Arial" w:eastAsia="Arial" w:hAnsi="Arial"/>
          <w:b w:val="false"/>
          <w:bCs w:val="false"/>
          <w:color w:val="1F784E"/>
          <w:sz w:val="24"/>
          <w:szCs w:val="24"/>
        </w:rPr>
        <w:t xml:space="preserve">5.13.1 Status before number</w:t>
      </w:r>
    </w:p>
    <w:p>
      <w:pPr>
        <w:spacing w:after="60" w:before="60" w:line="276"/>
      </w:pPr>
      <w:r>
        <w:rPr>
          <w:rFonts w:ascii="Arial" w:cs="Arial" w:eastAsia="Arial" w:hAnsi="Arial"/>
          <w:color w:val="1B2631"/>
          <w:sz w:val="22"/>
          <w:szCs w:val="22"/>
        </w:rPr>
        <w:t xml:space="preserve">Every extracted population is displayed with its status, resolved, ambiguous or missing, adjacent to the value, not in a tooltip or a detail panel. The three states are visually distinct. A number presented without its status invites the reader to treat an ambiguous extraction as a settled fact.</w:t>
      </w:r>
    </w:p>
    <w:p>
      <w:pPr>
        <w:pStyle w:val="Heading3"/>
        <w:keepNext/>
        <w:spacing w:after="120" w:before="240"/>
      </w:pPr>
      <w:r>
        <w:rPr>
          <w:rFonts w:ascii="Arial" w:cs="Arial" w:eastAsia="Arial" w:hAnsi="Arial"/>
          <w:b w:val="false"/>
          <w:bCs w:val="false"/>
          <w:color w:val="1F784E"/>
          <w:sz w:val="24"/>
          <w:szCs w:val="24"/>
        </w:rPr>
        <w:t xml:space="preserve">5.13.2 The supporting sentence is reachable</w:t>
      </w:r>
    </w:p>
    <w:p>
      <w:pPr>
        <w:spacing w:after="60" w:before="60" w:line="276"/>
      </w:pPr>
      <w:r>
        <w:rPr>
          <w:rFonts w:ascii="Arial" w:cs="Arial" w:eastAsia="Arial" w:hAnsi="Arial"/>
          <w:color w:val="1B2631"/>
          <w:sz w:val="22"/>
          <w:szCs w:val="22"/>
        </w:rPr>
        <w:t xml:space="preserve">Selecting an extracted population reveals the sentence it came from. This is the single most useful affordance in the interface: a reader who doubts a number can verify it in one interaction, without leaving the application or opening the source paper. It is possible only because the extractor retains sentence on every candidate (Section 4.2.2).</w:t>
      </w:r>
    </w:p>
    <w:p>
      <w:pPr>
        <w:pStyle w:val="Heading3"/>
        <w:keepNext/>
        <w:spacing w:after="120" w:before="240"/>
      </w:pPr>
      <w:r>
        <w:rPr>
          <w:rFonts w:ascii="Arial" w:cs="Arial" w:eastAsia="Arial" w:hAnsi="Arial"/>
          <w:b w:val="false"/>
          <w:bCs w:val="false"/>
          <w:color w:val="1F784E"/>
          <w:sz w:val="24"/>
          <w:szCs w:val="24"/>
        </w:rPr>
        <w:t xml:space="preserve">5.13.3 Absence is reported, not implied</w:t>
      </w:r>
    </w:p>
    <w:p>
      <w:pPr>
        <w:spacing w:after="60" w:before="60" w:line="276"/>
      </w:pPr>
      <w:r>
        <w:rPr>
          <w:rFonts w:ascii="Arial" w:cs="Arial" w:eastAsia="Arial" w:hAnsi="Arial"/>
          <w:color w:val="1B2631"/>
          <w:sz w:val="22"/>
          <w:szCs w:val="22"/>
        </w:rPr>
        <w:t xml:space="preserve">Run warnings appear on the dashboard overview rather than being logged server-side and discarded. A graph with few nodes is accompanied by the reason: how many abstracts were unavailable, how many were recovered from a secondary provider, how many duplicate records were merged. Without this, a sparse graph is ambiguous between "this paper has few citations" and "the system failed", and a user cannot distinguish them.</w:t>
      </w:r>
    </w:p>
    <w:p>
      <w:pPr>
        <w:pStyle w:val="Heading3"/>
        <w:keepNext/>
        <w:spacing w:after="120" w:before="240"/>
      </w:pPr>
      <w:r>
        <w:rPr>
          <w:rFonts w:ascii="Arial" w:cs="Arial" w:eastAsia="Arial" w:hAnsi="Arial"/>
          <w:b w:val="false"/>
          <w:bCs w:val="false"/>
          <w:color w:val="1F784E"/>
          <w:sz w:val="24"/>
          <w:szCs w:val="24"/>
        </w:rPr>
        <w:t xml:space="preserve">5.13.4 An honest limitation of the current presentation</w:t>
      </w:r>
    </w:p>
    <w:p>
      <w:pPr>
        <w:spacing w:after="60" w:before="60" w:line="276"/>
      </w:pPr>
      <w:r>
        <w:rPr>
          <w:rFonts w:ascii="Arial" w:cs="Arial" w:eastAsia="Arial" w:hAnsi="Arial"/>
          <w:color w:val="1B2631"/>
          <w:sz w:val="22"/>
          <w:szCs w:val="22"/>
        </w:rPr>
        <w:t xml:space="preserve">The interface presents confidence as a number and, by placing it beside the extraction, implies it indicates reliability. Section 6.4.4 shows it does not: mean confidence was 0.91 when the extracted value was correct and 0.90 when it was wrong. A user filtering for high confidence would retain the errors.</w:t>
      </w:r>
    </w:p>
    <w:p>
      <w:pPr>
        <w:spacing w:after="60" w:before="60" w:line="276"/>
      </w:pPr>
      <w:r>
        <w:rPr>
          <w:rFonts w:ascii="Arial" w:cs="Arial" w:eastAsia="Arial" w:hAnsi="Arial"/>
          <w:color w:val="1B2631"/>
          <w:sz w:val="22"/>
          <w:szCs w:val="22"/>
        </w:rPr>
        <w:t xml:space="preserve">This is a presentation problem as much as a modelling one. Until the score is calibrated (Section 8.2.1), displaying it as a precise quantity overstates what is known. A coarser presentation, or an explicit statement that the score reflects which pattern matched rather than probability of correctness, would be more truthful with the current model.</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5.14 Graph Visualisation</w:t>
      </w:r>
    </w:p>
    <w:p>
      <w:pPr>
        <w:spacing w:after="60" w:before="60" w:line="276"/>
      </w:pPr>
      <w:r>
        <w:rPr>
          <w:rFonts w:ascii="Arial" w:cs="Arial" w:eastAsia="Arial" w:hAnsi="Arial"/>
          <w:color w:val="1B2631"/>
          <w:sz w:val="22"/>
          <w:szCs w:val="22"/>
        </w:rPr>
        <w:t xml:space="preserve">The graph view renders nodes sized by extracted population and edges weighted by the final edge weight, with the seed paper distinguished.</w:t>
      </w:r>
    </w:p>
    <w:p>
      <w:pPr>
        <w:spacing w:after="60" w:before="60" w:line="276"/>
      </w:pPr>
      <w:r>
        <w:rPr>
          <w:rFonts w:ascii="Arial" w:cs="Arial" w:eastAsia="Arial" w:hAnsi="Arial"/>
          <w:color w:val="1B2631"/>
          <w:sz w:val="22"/>
          <w:szCs w:val="22"/>
        </w:rPr>
        <w:t xml:space="preserve">Three constraints shaped it.</w:t>
      </w:r>
    </w:p>
    <w:p>
      <w:pPr>
        <w:spacing w:after="60" w:before="60" w:line="276"/>
      </w:pPr>
      <w:r>
        <w:rPr>
          <w:rFonts w:ascii="Arial" w:cs="Arial" w:eastAsia="Arial" w:hAnsi="Arial"/>
          <w:color w:val="1B2631"/>
          <w:sz w:val="22"/>
          <w:szCs w:val="22"/>
        </w:rPr>
        <w:t xml:space="preserve">Bounded node count. At most 200 nodes, which Cytoscape handles interactively. A force-directed layout over an unbounded graph would neither render nor be readable, which is a second reason for the traversal budget.</w:t>
      </w:r>
    </w:p>
    <w:p>
      <w:pPr>
        <w:spacing w:after="60" w:before="60" w:line="276"/>
      </w:pPr>
      <w:r>
        <w:rPr>
          <w:rFonts w:ascii="Arial" w:cs="Arial" w:eastAsia="Arial" w:hAnsi="Arial"/>
          <w:color w:val="1B2631"/>
          <w:sz w:val="22"/>
          <w:szCs w:val="22"/>
        </w:rPr>
        <w:t xml:space="preserve">Every link has both endpoints. The renderer would silently drop an edge whose endpoints are absent from the node set, so a graph with dangling edges displays as fewer edges than the data contains with no error. The traversal guarantee in Section 4.4.2 exists partly for this reason, and Section 6.5 verifies it: zero dangling edges across three runs.</w:t>
      </w:r>
    </w:p>
    <w:p>
      <w:pPr>
        <w:spacing w:after="60" w:before="60" w:line="276"/>
      </w:pPr>
      <w:r>
        <w:rPr>
          <w:rFonts w:ascii="Arial" w:cs="Arial" w:eastAsia="Arial" w:hAnsi="Arial"/>
          <w:color w:val="1B2631"/>
          <w:sz w:val="22"/>
          <w:szCs w:val="22"/>
        </w:rPr>
        <w:t xml:space="preserve">Weights are visible. Edge thickness encodes the final weight. Before the defect in Section 5.6 was found, every weight was zero and every edge rendered identically, which, in retrospect, was an available visual signal that something was wrong, and one nobody read as such.</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5.15 Export Design</w:t>
      </w:r>
    </w:p>
    <w:p>
      <w:pPr>
        <w:spacing w:after="60" w:before="60" w:line="276"/>
      </w:pPr>
      <w:r>
        <w:rPr>
          <w:rFonts w:ascii="Arial" w:cs="Arial" w:eastAsia="Arial" w:hAnsi="Arial"/>
          <w:color w:val="1B2631"/>
          <w:sz w:val="22"/>
          <w:szCs w:val="22"/>
        </w:rPr>
        <w:t xml:space="preserve">Five formats, each with a distinct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Format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Intended use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JSON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Programmatic reuse; complete result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CSV (papers)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Spreadsheet triage: one row per paper with rank, degree, evidence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CSV (edges)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The graph as a relation, with every weight component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Markdown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 readable report for inclusion in notes or a literature review</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GraphML</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Import into Gephi, yEd or Cytoscape Desktop for further analysis</w:t>
            </w:r>
          </w:p>
        </w:tc>
      </w:tr>
    </w:tbl>
    <w:p>
      <w:pPr>
        <w:spacing w:before="120"/>
      </w:pPr>
      <w:r>
        <w:t xml:space="preserve"/>
      </w:r>
    </w:p>
    <w:p>
      <w:pPr>
        <w:spacing w:after="60" w:before="60" w:line="276"/>
      </w:pPr>
      <w:r>
        <w:rPr>
          <w:rFonts w:ascii="Arial" w:cs="Arial" w:eastAsia="Arial" w:hAnsi="Arial"/>
          <w:color w:val="1B2631"/>
          <w:sz w:val="22"/>
          <w:szCs w:val="22"/>
        </w:rPr>
        <w:t xml:space="preserve">Two exports exist because of things learned during evaluation. The edge list was added because a paper list cannot express a graph, and any external analysis of the weighting needs the components. GraphML was added because the frontend already advertised it as a format although no endpoint existed, the button returned 404.</w:t>
      </w:r>
    </w:p>
    <w:p>
      <w:pPr>
        <w:spacing w:after="60" w:before="60" w:line="276"/>
      </w:pPr>
      <w:r>
        <w:rPr>
          <w:rFonts w:ascii="Arial" w:cs="Arial" w:eastAsia="Arial" w:hAnsi="Arial"/>
          <w:color w:val="1B2631"/>
          <w:sz w:val="22"/>
          <w:szCs w:val="22"/>
        </w:rPr>
        <w:t xml:space="preserve">The Markdown report states explicitly when no population evidence was found and what that means for the weights, rather than presenting an effectively unweighted ranking as though it were evidence-weighted. This is the same honesty requirement as Section 5.13.3, applied to the artifact a reader is most likely to circulate.</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6: Evaluation and Results</w:t>
      </w:r>
    </w:p>
    <w:p>
      <w:pPr>
        <w:spacing w:after="60" w:before="60" w:line="276"/>
      </w:pPr>
      <w:r>
        <w:rPr>
          <w:rFonts w:ascii="Arial" w:cs="Arial" w:eastAsia="Arial" w:hAnsi="Arial"/>
          <w:color w:val="1B2631"/>
          <w:sz w:val="22"/>
          <w:szCs w:val="22"/>
        </w:rPr>
        <w:t xml:space="preserve">All results in this chapter were produced by scripts/run</w:t>
      </w:r>
      <w:r>
        <w:rPr>
          <w:rFonts w:ascii="Arial" w:cs="Arial" w:eastAsia="Arial" w:hAnsi="Arial"/>
          <w:color w:val="1B2631"/>
          <w:sz w:val="22"/>
          <w:szCs w:val="22"/>
        </w:rPr>
        <w:t xml:space="preserve">_</w:t>
      </w:r>
      <w:r>
        <w:rPr>
          <w:rFonts w:ascii="Arial" w:cs="Arial" w:eastAsia="Arial" w:hAnsi="Arial"/>
          <w:color w:val="1B2631"/>
          <w:sz w:val="22"/>
          <w:szCs w:val="22"/>
        </w:rPr>
        <w:t xml:space="preserve">evaluation.py, committed to the project repository. Appendix C gives the commands. The run reported here was generated on 2026-09-18. Every figure can be recomputed by a reader with network access; because the underlying scholarly APIs change over time, exact reproduction is not guaranteed and this is discussed in Section 7.3.</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6.1 Gold Standard</w:t>
      </w:r>
    </w:p>
    <w:p>
      <w:pPr>
        <w:pStyle w:val="Heading3"/>
        <w:keepNext/>
        <w:spacing w:after="120" w:before="240"/>
      </w:pPr>
      <w:r>
        <w:rPr>
          <w:rFonts w:ascii="Arial" w:cs="Arial" w:eastAsia="Arial" w:hAnsi="Arial"/>
          <w:b w:val="false"/>
          <w:bCs w:val="false"/>
          <w:color w:val="1F784E"/>
          <w:sz w:val="24"/>
          <w:szCs w:val="24"/>
        </w:rPr>
        <w:t xml:space="preserve">6.1.1 Composition</w:t>
      </w:r>
    </w:p>
    <w:p>
      <w:pPr>
        <w:spacing w:after="60" w:before="60" w:line="276"/>
      </w:pPr>
      <w:r>
        <w:rPr>
          <w:rFonts w:ascii="Arial" w:cs="Arial" w:eastAsia="Arial" w:hAnsi="Arial"/>
          <w:color w:val="1B2631"/>
          <w:sz w:val="22"/>
          <w:szCs w:val="22"/>
        </w:rPr>
        <w:t xml:space="preserve">Twenty papers, annotated by reading the abstract retrieved through the same providers the pipeline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Design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Papers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Label</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Randomised controlled trial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positive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Cohort study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positive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Case series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positive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Epidemiological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positive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Modelling study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positive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Positives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Review article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negative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Clinical guideline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negative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Virus characterisation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negative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Computational (no human subjects)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negative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Negatives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9</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
            </w:r>
          </w:p>
        </w:tc>
      </w:tr>
    </w:tbl>
    <w:p>
      <w:pPr>
        <w:spacing w:before="120"/>
      </w:pPr>
      <w:r>
        <w:t xml:space="preserve"/>
      </w:r>
    </w:p>
    <w:p>
      <w:pPr>
        <w:spacing w:after="60" w:before="60" w:line="276"/>
      </w:pPr>
      <w:r>
        <w:rPr>
          <w:rFonts w:ascii="Arial" w:cs="Arial" w:eastAsia="Arial" w:hAnsi="Arial"/>
          <w:color w:val="1B2631"/>
          <w:sz w:val="22"/>
          <w:szCs w:val="22"/>
        </w:rPr>
        <w:t xml:space="preserve">Positive sample sizes span 41 to 43,548 subjects, three orders of magnitude, which is the range the logarithmic normalisation in Section 4.5 is designed for.</w:t>
      </w:r>
    </w:p>
    <w:p>
      <w:pPr>
        <w:pStyle w:val="Heading3"/>
        <w:keepNext/>
        <w:spacing w:after="120" w:before="240"/>
      </w:pPr>
      <w:r>
        <w:rPr>
          <w:rFonts w:ascii="Arial" w:cs="Arial" w:eastAsia="Arial" w:hAnsi="Arial"/>
          <w:b w:val="false"/>
          <w:bCs w:val="false"/>
          <w:color w:val="1F784E"/>
          <w:sz w:val="24"/>
          <w:szCs w:val="24"/>
        </w:rPr>
        <w:t xml:space="preserve">6.1.2 Hard negatives</w:t>
      </w:r>
    </w:p>
    <w:p>
      <w:pPr>
        <w:spacing w:after="60" w:before="60" w:line="276"/>
      </w:pPr>
      <w:r>
        <w:rPr>
          <w:rFonts w:ascii="Arial" w:cs="Arial" w:eastAsia="Arial" w:hAnsi="Arial"/>
          <w:color w:val="1B2631"/>
          <w:sz w:val="22"/>
          <w:szCs w:val="22"/>
        </w:rPr>
        <w:t xml:space="preserve">Four negatives contain large, salient numbers that are not study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Paper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Distractor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Why it is not the answer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Zhou et al., Nature 2020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"2,794 laboratory-confirmed infections"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Epidemic tally, not this study's sample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Wynants et al., BMJ 2020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counts of reviewed studies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 systematic review; units are studies</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Jumper et al., Nature 2021</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CASP14 target counts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Protein targets, not human subjects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Krizhevsky et al., CACM 2017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"1.2 million high-resolution images"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Dataset size, not a study population</w:t>
            </w:r>
          </w:p>
        </w:tc>
      </w:tr>
    </w:tbl>
    <w:p>
      <w:pPr>
        <w:spacing w:before="120"/>
      </w:pPr>
      <w:r>
        <w:t xml:space="preserve"/>
      </w:r>
    </w:p>
    <w:p>
      <w:pPr>
        <w:spacing w:after="60" w:before="60" w:line="276"/>
      </w:pPr>
      <w:r>
        <w:rPr>
          <w:rFonts w:ascii="Arial" w:cs="Arial" w:eastAsia="Arial" w:hAnsi="Arial"/>
          <w:color w:val="1B2631"/>
          <w:sz w:val="22"/>
          <w:szCs w:val="22"/>
        </w:rPr>
        <w:t xml:space="preserve">A gold set of positives only cannot measure false positives. Since a confident wrong number damages user trust more than a missing one, these cases are the most informative in the set.</w:t>
      </w:r>
    </w:p>
    <w:p>
      <w:pPr>
        <w:pStyle w:val="Heading3"/>
        <w:keepNext/>
        <w:spacing w:after="120" w:before="240"/>
      </w:pPr>
      <w:r>
        <w:rPr>
          <w:rFonts w:ascii="Arial" w:cs="Arial" w:eastAsia="Arial" w:hAnsi="Arial"/>
          <w:b w:val="false"/>
          <w:bCs w:val="false"/>
          <w:color w:val="1F784E"/>
          <w:sz w:val="24"/>
          <w:szCs w:val="24"/>
        </w:rPr>
        <w:t xml:space="preserve">6.1.3 Annotation protocol and its limits</w:t>
      </w:r>
    </w:p>
    <w:p>
      <w:pPr>
        <w:spacing w:after="60" w:before="60" w:line="276"/>
      </w:pPr>
      <w:r>
        <w:rPr>
          <w:rFonts w:ascii="Arial" w:cs="Arial" w:eastAsia="Arial" w:hAnsi="Arial"/>
          <w:color w:val="1B2631"/>
          <w:sz w:val="22"/>
          <w:szCs w:val="22"/>
        </w:rPr>
        <w:t xml:space="preserve">Each label records the effective population, the total human subjects the primary analysis rests on, as stated in the abstract, with the supporting sentence quoted verbatim so the label is auditable. Where no human study population is stated, the label is negative and correct behaviour is to extract nothing.</w:t>
      </w:r>
    </w:p>
    <w:p>
      <w:pPr>
        <w:spacing w:after="60" w:before="60" w:line="276"/>
      </w:pPr>
      <w:r>
        <w:rPr>
          <w:rFonts w:ascii="Arial" w:cs="Arial" w:eastAsia="Arial" w:hAnsi="Arial"/>
          <w:color w:val="1B2631"/>
          <w:sz w:val="22"/>
          <w:szCs w:val="22"/>
        </w:rPr>
        <w:t xml:space="preserve">The limitations stated in Section 3.5.4 apply throughout: single annotator who is also a system author, no inter-annotator agreement, twenty papers, abstracts only, biomedical concentration.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6.2 Metadata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Result</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Papers attempted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Papers resolved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 (100%)</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DOI exact match</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 (100%)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Title present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Year present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Journal present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Authors present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Abstract present after backfill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Abstracts recovered from Europe PMC</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w:t>
            </w:r>
          </w:p>
        </w:tc>
      </w:tr>
    </w:tbl>
    <w:p>
      <w:pPr>
        <w:spacing w:before="120"/>
      </w:pPr>
      <w:r>
        <w:t xml:space="preserve"/>
      </w:r>
    </w:p>
    <w:p>
      <w:pPr>
        <w:spacing w:after="60" w:before="60" w:line="276"/>
      </w:pPr>
      <w:r>
        <w:rPr>
          <w:rFonts w:ascii="Arial" w:cs="Arial" w:eastAsia="Arial" w:hAnsi="Arial"/>
          <w:color w:val="1B2631"/>
          <w:sz w:val="22"/>
          <w:szCs w:val="22"/>
        </w:rPr>
        <w:t xml:space="preserve">Resolution and field completeness are perfect on this set. Two qualifications prevent over-reading it. The gold papers are well-indexed works from major journals, which is the easy case; papers from small venues, older literature and non-English publications are not represented. And the 100% abstract figure is post-backfill: four of twenty papers (20%) had no abstract from the primary resolution path and were recovered only because a second provider was queried.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6.3 Abstract Availability</w:t>
      </w:r>
    </w:p>
    <w:p>
      <w:pPr>
        <w:spacing w:after="60" w:before="60" w:line="276"/>
      </w:pPr>
      <w:r>
        <w:rPr>
          <w:rFonts w:ascii="Arial" w:cs="Arial" w:eastAsia="Arial" w:hAnsi="Arial"/>
          <w:color w:val="1B2631"/>
          <w:sz w:val="22"/>
          <w:szCs w:val="22"/>
        </w:rPr>
        <w:t xml:space="preserve">Because extraction requires text, abstract availability bounds everything downstream. Measured on a 40-paper traversal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Measure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Papers in graph</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abstract in OpenAlex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 (28%)</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Recoverable from Europe PMC</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 of 11 (100%)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Recoverable from Crossref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 of 11</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Remaining without abstract after backfill</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r>
    </w:tbl>
    <w:p>
      <w:pPr>
        <w:spacing w:before="120"/>
      </w:pPr>
      <w:r>
        <w:t xml:space="preserve"/>
      </w:r>
    </w:p>
    <w:p>
      <w:pPr>
        <w:spacing w:after="60" w:before="60" w:line="276"/>
      </w:pPr>
      <w:r>
        <w:rPr>
          <w:rFonts w:ascii="Arial" w:cs="Arial" w:eastAsia="Arial" w:hAnsi="Arial"/>
          <w:color w:val="1B2631"/>
          <w:sz w:val="22"/>
          <w:szCs w:val="22"/>
        </w:rPr>
        <w:t xml:space="preserve">This is the single most consequential measurement in the evaluation, and it answers RQ2. Before the backfill, 28% of papers could not be evaluated at all, not because extraction failed, but because there was nothing to read. Every one of those abstracts existed in Europe PMC, and none in Crossref.</w:t>
      </w:r>
    </w:p>
    <w:p>
      <w:pPr>
        <w:spacing w:after="60" w:before="60" w:line="276"/>
      </w:pPr>
      <w:r>
        <w:rPr>
          <w:rFonts w:ascii="Arial" w:cs="Arial" w:eastAsia="Arial" w:hAnsi="Arial"/>
          <w:color w:val="1B2631"/>
          <w:sz w:val="22"/>
          <w:szCs w:val="22"/>
        </w:rPr>
        <w:t xml:space="preserve">Two conclusions follow. First, a pipeline drawing abstracts from a single provider inherits that provider's coverage gaps as an invisible ceiling on recall. Second, the fix is cheap: an OR-joined Europe PMC query returned all eleven abstracts in one request in 0.81 s, so the backfill costs one additional API call per run.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6.4 Population Extraction</w:t>
      </w:r>
    </w:p>
    <w:p>
      <w:pPr>
        <w:pStyle w:val="Heading3"/>
        <w:keepNext/>
        <w:spacing w:after="120" w:before="240"/>
      </w:pPr>
      <w:r>
        <w:rPr>
          <w:rFonts w:ascii="Arial" w:cs="Arial" w:eastAsia="Arial" w:hAnsi="Arial"/>
          <w:b w:val="false"/>
          <w:bCs w:val="false"/>
          <w:color w:val="1F784E"/>
          <w:sz w:val="24"/>
          <w:szCs w:val="24"/>
        </w:rPr>
        <w:t xml:space="preserve">6.4.1 Detection</w:t>
      </w:r>
    </w:p>
    <w:p>
      <w:pPr>
        <w:spacing w:after="60" w:before="60" w:line="276"/>
      </w:pPr>
      <w:r>
        <w:rPr>
          <w:rFonts w:ascii="Arial" w:cs="Arial" w:eastAsia="Arial" w:hAnsi="Arial"/>
          <w:color w:val="1B2631"/>
          <w:sz w:val="22"/>
          <w:szCs w:val="22"/>
        </w:rPr>
        <w:t xml:space="preserve">Detection is the binary decision: does this paper report a study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Predicted positive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Predicted negative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Actually positive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TP = 11</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FN = 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Actually negative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FP =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TN = 8</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95% CI</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Precision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0.917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Specificity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0.889</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0.957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Accuracy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0.950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[0.764, 0.991]</w:t>
            </w:r>
          </w:p>
        </w:tc>
      </w:tr>
    </w:tbl>
    <w:p>
      <w:pPr>
        <w:spacing w:before="120"/>
      </w:pPr>
      <w:r>
        <w:t xml:space="preserve"/>
      </w:r>
    </w:p>
    <w:p>
      <w:pPr>
        <w:spacing w:after="60" w:before="60" w:line="276"/>
      </w:pPr>
      <w:r>
        <w:rPr>
          <w:rFonts w:ascii="Arial" w:cs="Arial" w:eastAsia="Arial" w:hAnsi="Arial"/>
          <w:color w:val="1B2631"/>
          <w:sz w:val="22"/>
          <w:szCs w:val="22"/>
        </w:rPr>
        <w:t xml:space="preserve">Recall is perfect on this set: every paper that reports a population had one extracted. The confidence interval on accuracy is wide, [0.764, 0.991], and must be quoted with the point estimate. A recall of 1.000 on eleven positives is statistically consistent with a true recall substantially below 1.</w:t>
      </w:r>
    </w:p>
    <w:p>
      <w:pPr>
        <w:spacing w:after="60" w:before="60" w:line="276"/>
      </w:pPr>
      <w:r>
        <w:rPr>
          <w:rFonts w:ascii="Arial" w:cs="Arial" w:eastAsia="Arial" w:hAnsi="Arial"/>
          <w:color w:val="1B2631"/>
          <w:sz w:val="22"/>
          <w:szCs w:val="22"/>
        </w:rPr>
        <w:t xml:space="preserve">This answers the first half of RQ1: pattern-based extraction detects the presence of a reported population reliably enough to drive edge weighting, with the sample-size caveat above.</w:t>
      </w:r>
    </w:p>
    <w:p>
      <w:pPr>
        <w:pStyle w:val="Heading3"/>
        <w:keepNext/>
        <w:spacing w:after="120" w:before="240"/>
      </w:pPr>
      <w:r>
        <w:rPr>
          <w:rFonts w:ascii="Arial" w:cs="Arial" w:eastAsia="Arial" w:hAnsi="Arial"/>
          <w:b w:val="false"/>
          <w:bCs w:val="false"/>
          <w:color w:val="1F784E"/>
          <w:sz w:val="24"/>
          <w:szCs w:val="24"/>
        </w:rPr>
        <w:t xml:space="preserve">6.4.2 Value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95% CI</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Exact value correct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 / 11 (0.909)</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[0.623, 0.984]</w:t>
            </w:r>
          </w:p>
        </w:tc>
      </w:tr>
    </w:tbl>
    <w:p>
      <w:pPr>
        <w:spacing w:before="120"/>
      </w:pPr>
      <w:r>
        <w:t xml:space="preserve"/>
      </w:r>
    </w:p>
    <w:p>
      <w:pPr>
        <w:spacing w:after="60" w:before="60" w:line="276"/>
      </w:pPr>
      <w:r>
        <w:rPr>
          <w:rFonts w:ascii="Arial" w:cs="Arial" w:eastAsia="Arial" w:hAnsi="Arial"/>
          <w:color w:val="1B2631"/>
          <w:sz w:val="22"/>
          <w:szCs w:val="22"/>
        </w:rPr>
        <w:t xml:space="preserve">The single failure is instructive. For Wang et al., JAMA 2020, a case series of 138 hospitalised patients, the system extracted 36. The abstract states the cohort size in the Design section and then reports numerous subgroup counts in Results; the resolver selected a subgroup. This is a resolution failure, not a detection failure: the correct candidate was extracted, and the selection policy in Section 4.2.2 preferred another.</w:t>
      </w:r>
    </w:p>
    <w:p>
      <w:pPr>
        <w:pStyle w:val="Heading3"/>
        <w:keepNext/>
        <w:spacing w:after="120" w:before="240"/>
      </w:pPr>
      <w:r>
        <w:rPr>
          <w:rFonts w:ascii="Arial" w:cs="Arial" w:eastAsia="Arial" w:hAnsi="Arial"/>
          <w:b w:val="false"/>
          <w:bCs w:val="false"/>
          <w:color w:val="1F784E"/>
          <w:sz w:val="24"/>
          <w:szCs w:val="24"/>
        </w:rPr>
        <w:t xml:space="preserve">6.4.3 Semantic type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Type correct, among correct values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 / 10 (0.600)</w:t>
            </w:r>
          </w:p>
        </w:tc>
      </w:tr>
    </w:tbl>
    <w:p>
      <w:pPr>
        <w:spacing w:before="120"/>
      </w:pPr>
      <w:r>
        <w:t xml:space="preserve"/>
      </w:r>
    </w:p>
    <w:p>
      <w:pPr>
        <w:spacing w:after="60" w:before="60" w:line="276"/>
      </w:pPr>
      <w:r>
        <w:rPr>
          <w:rFonts w:ascii="Arial" w:cs="Arial" w:eastAsia="Arial" w:hAnsi="Arial"/>
          <w:color w:val="1B2631"/>
          <w:sz w:val="22"/>
          <w:szCs w:val="22"/>
        </w:rPr>
        <w:t xml:space="preserve">This is the weakest measured result, and it answers the second half of RQ1 negatively: surface patterns do not reliably distinguish the clinical categories. The four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Paper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Gold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Predicted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Polack et al. 2020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TOTAL_RANDOMIZED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SAMPLE_SIZE_GENERIC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Folegatti et al. 2020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TOTAL_ENROLLED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TOTAL_RANDOMIZED</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Huang et al. 2020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TOTAL_ANALYZED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TOTAL_ENROLLED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Verity et al. 2020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SAMPLE_SIZE_GENERIC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TOTAL_ANALYZED</w:t>
            </w:r>
          </w:p>
        </w:tc>
      </w:tr>
    </w:tbl>
    <w:p>
      <w:pPr>
        <w:spacing w:before="120"/>
      </w:pPr>
      <w:r>
        <w:t xml:space="preserve"/>
      </w:r>
    </w:p>
    <w:p>
      <w:pPr>
        <w:spacing w:after="60" w:before="60" w:line="276"/>
      </w:pPr>
      <w:r>
        <w:rPr>
          <w:rFonts w:ascii="Arial" w:cs="Arial" w:eastAsia="Arial" w:hAnsi="Arial"/>
          <w:color w:val="1B2631"/>
          <w:sz w:val="22"/>
          <w:szCs w:val="22"/>
        </w:rPr>
        <w:t xml:space="preserve">All four are adjacent-category confusions among quantities that are often numerically equal, a trial that randomises 4,744 and analyses 4,744 differs only in framing. The first error has a traceable cause: the phrase "A total of 43,548 participants underwent randomization" matches a generic a total of N pattern that is typed SAMPLE</w:t>
      </w:r>
      <w:r>
        <w:rPr>
          <w:rFonts w:ascii="Arial" w:cs="Arial" w:eastAsia="Arial" w:hAnsi="Arial"/>
          <w:color w:val="1B2631"/>
          <w:sz w:val="22"/>
          <w:szCs w:val="22"/>
        </w:rPr>
        <w:t xml:space="preserve">_</w:t>
      </w:r>
      <w:r>
        <w:rPr>
          <w:rFonts w:ascii="Arial" w:cs="Arial" w:eastAsia="Arial" w:hAnsi="Arial"/>
          <w:color w:val="1B2631"/>
          <w:sz w:val="22"/>
          <w:szCs w:val="22"/>
        </w:rPr>
        <w:t xml:space="preserve">SIZE</w:t>
      </w:r>
      <w:r>
        <w:rPr>
          <w:rFonts w:ascii="Arial" w:cs="Arial" w:eastAsia="Arial" w:hAnsi="Arial"/>
          <w:color w:val="1B2631"/>
          <w:sz w:val="22"/>
          <w:szCs w:val="22"/>
        </w:rPr>
        <w:t xml:space="preserve">_</w:t>
      </w:r>
      <w:r>
        <w:rPr>
          <w:rFonts w:ascii="Arial" w:cs="Arial" w:eastAsia="Arial" w:hAnsi="Arial"/>
          <w:color w:val="1B2631"/>
          <w:sz w:val="22"/>
          <w:szCs w:val="22"/>
        </w:rPr>
        <w:t xml:space="preserve">GENERIC, and that pattern outranked the randomisation-specific one. This is a pattern-priority defect, not an inherent limit.</w:t>
      </w:r>
    </w:p>
    <w:p>
      <w:pPr>
        <w:spacing w:after="60" w:before="60" w:line="276"/>
      </w:pPr>
      <w:r>
        <w:rPr>
          <w:rFonts w:ascii="Arial" w:cs="Arial" w:eastAsia="Arial" w:hAnsi="Arial"/>
          <w:color w:val="1B2631"/>
          <w:sz w:val="22"/>
          <w:szCs w:val="22"/>
        </w:rPr>
        <w:t xml:space="preserve">The practical impact on the system is smaller than the number suggests: the weighting formula uses the value, not the type. Type accuracy affects the displayed explanation rather than the ranking. It is nonetheless the clearest argument for the supervised approach discussed in Section 8.2.</w:t>
      </w:r>
    </w:p>
    <w:p>
      <w:pPr>
        <w:pStyle w:val="Heading3"/>
        <w:keepNext/>
        <w:spacing w:after="120" w:before="240"/>
      </w:pPr>
      <w:r>
        <w:rPr>
          <w:rFonts w:ascii="Arial" w:cs="Arial" w:eastAsia="Arial" w:hAnsi="Arial"/>
          <w:b w:val="false"/>
          <w:bCs w:val="false"/>
          <w:color w:val="1F784E"/>
          <w:sz w:val="24"/>
          <w:szCs w:val="24"/>
        </w:rPr>
        <w:t xml:space="preserve">6.4.4 The false positive, and confidence calibration</w:t>
      </w:r>
    </w:p>
    <w:p>
      <w:pPr>
        <w:spacing w:after="60" w:before="60" w:line="276"/>
      </w:pPr>
      <w:r>
        <w:rPr>
          <w:rFonts w:ascii="Arial" w:cs="Arial" w:eastAsia="Arial" w:hAnsi="Arial"/>
          <w:color w:val="1B2631"/>
          <w:sz w:val="22"/>
          <w:szCs w:val="22"/>
        </w:rPr>
        <w:t xml:space="preserve">The one false positive is Wynants et al., BMJ 2020, a systematic review of prediction models. The system extracted 27 with confidence 0.90.</w:t>
      </w:r>
    </w:p>
    <w:p>
      <w:pPr>
        <w:spacing w:after="60" w:before="60" w:line="276"/>
      </w:pPr>
      <w:r>
        <w:rPr>
          <w:rFonts w:ascii="Arial" w:cs="Arial" w:eastAsia="Arial" w:hAnsi="Arial"/>
          <w:color w:val="1B2631"/>
          <w:sz w:val="22"/>
          <w:szCs w:val="22"/>
        </w:rPr>
        <w:t xml:space="preserve">This exposes a calibration failure that matters more than the single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Mean confidence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When the extracted value was correct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0.91</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When the extracted value was wrong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0.90</w:t>
            </w:r>
          </w:p>
        </w:tc>
      </w:tr>
    </w:tbl>
    <w:p>
      <w:pPr>
        <w:spacing w:before="120"/>
      </w:pPr>
      <w:r>
        <w:t xml:space="preserve"/>
      </w:r>
    </w:p>
    <w:p>
      <w:pPr>
        <w:spacing w:after="60" w:before="60" w:line="276"/>
      </w:pPr>
      <w:r>
        <w:rPr>
          <w:rFonts w:ascii="Arial" w:cs="Arial" w:eastAsia="Arial" w:hAnsi="Arial"/>
          <w:color w:val="1B2631"/>
          <w:sz w:val="22"/>
          <w:szCs w:val="22"/>
        </w:rPr>
        <w:t xml:space="preserve">Confidence does not discriminate correct from incorrect extractions. This is a genuine weakness in a system whose stated purpose is to surface uncertainty. Confidence currently reflects which pattern matched, not how likely the match is to be right, and a user filtering on high confidence would retain the errors along with the correct results. Section 8.2 proposes calibration against held-out data as the remedy.</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6.5 Citation Graph Construction</w:t>
      </w:r>
    </w:p>
    <w:p>
      <w:pPr>
        <w:spacing w:after="60" w:before="60" w:line="276"/>
      </w:pPr>
      <w:r>
        <w:rPr>
          <w:rFonts w:ascii="Arial" w:cs="Arial" w:eastAsia="Arial" w:hAnsi="Arial"/>
          <w:color w:val="1B2631"/>
          <w:sz w:val="22"/>
          <w:szCs w:val="22"/>
        </w:rPr>
        <w:t xml:space="preserve">Three traversals at max</w:t>
      </w:r>
      <w:r>
        <w:rPr>
          <w:rFonts w:ascii="Arial" w:cs="Arial" w:eastAsia="Arial" w:hAnsi="Arial"/>
          <w:color w:val="1B2631"/>
          <w:sz w:val="22"/>
          <w:szCs w:val="22"/>
        </w:rPr>
        <w:t xml:space="preserve">_</w:t>
      </w:r>
      <w:r>
        <w:rPr>
          <w:rFonts w:ascii="Arial" w:cs="Arial" w:eastAsia="Arial" w:hAnsi="Arial"/>
          <w:color w:val="1B2631"/>
          <w:sz w:val="22"/>
          <w:szCs w:val="22"/>
        </w:rPr>
        <w:t xml:space="preserve">papers = 40, backward depth 2, forward depth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Seed</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Nodes</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Edges</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Dangling</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Isolated</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Merged</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Mean degree</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Time</w:t>
            </w:r>
          </w:p>
        </w:tc>
      </w:tr>
      <w:tr>
        <w:trPr>
          <w:tblHeader w:val="false"/>
        </w:trPr>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Guan et al. 2020 (COVID cohort)</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81</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4.05</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19.9 s</w:t>
            </w:r>
          </w:p>
        </w:tc>
      </w:tr>
      <w:tr>
        <w:trPr>
          <w:tblHeader w:val="false"/>
        </w:trP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Jumper et al. 2021 (AlphaFold)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39</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1.95</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10.7 s</w:t>
            </w:r>
          </w:p>
        </w:tc>
      </w:tr>
      <w:tr>
        <w:trPr>
          <w:tblHeader w:val="false"/>
        </w:trPr>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McMurray et al. 2019 (DAPA-HF)</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90</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4.50</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26.3 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Aggregate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Runs completed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 / 3</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 dangling edges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 isolated nodes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Connected fraction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1.000</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Duplicate records merged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Mean runtime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19.0 s</w:t>
            </w:r>
          </w:p>
        </w:tc>
      </w:tr>
    </w:tbl>
    <w:p>
      <w:pPr>
        <w:spacing w:before="120"/>
      </w:pPr>
      <w:r>
        <w:t xml:space="preserve"/>
      </w:r>
    </w:p>
    <w:p>
      <w:pPr>
        <w:spacing w:after="60" w:before="60" w:line="276"/>
      </w:pPr>
      <w:r>
        <w:rPr>
          <w:rFonts w:ascii="Arial" w:cs="Arial" w:eastAsia="Arial" w:hAnsi="Arial"/>
          <w:color w:val="1B2631"/>
          <w:sz w:val="22"/>
          <w:szCs w:val="22"/>
        </w:rPr>
        <w:t xml:space="preserve">Every run filled its budget with distinct papers, every edge had both endpoints present, and no node was orphaned. Duplicate merging occurred before the budget was consumed, so the two merges on the first graph did not reduce it below 40, which matters for interpretation: a sparse graph indicates few citations, not records lost to deduplication.</w:t>
      </w:r>
    </w:p>
    <w:p>
      <w:pPr>
        <w:spacing w:after="60" w:before="60" w:line="276"/>
      </w:pPr>
      <w:r>
        <w:rPr>
          <w:rFonts w:ascii="Arial" w:cs="Arial" w:eastAsia="Arial" w:hAnsi="Arial"/>
          <w:color w:val="1B2631"/>
          <w:sz w:val="22"/>
          <w:szCs w:val="22"/>
        </w:rPr>
        <w:t xml:space="preserve">Mean degree varies by more than a factor of two across seeds. The AlphaFold graph is markedly sparser (1.95) than the two clinical graphs (4.05, 4.50), reflecting that its neighbourhood spans structural biology, machine learning and chemistry, which cite each other less densely than a tight clinical literature does.</w:t>
      </w:r>
    </w:p>
    <w:p>
      <w:pPr>
        <w:spacing w:after="60" w:before="60" w:line="276"/>
      </w:pPr>
      <w:r>
        <w:rPr>
          <w:rFonts w:ascii="Arial" w:cs="Arial" w:eastAsia="Arial" w:hAnsi="Arial"/>
          <w:color w:val="1B2631"/>
          <w:sz w:val="22"/>
          <w:szCs w:val="22"/>
        </w:rPr>
        <w:t xml:space="preserve">On ranking quality (RQ3). A qualitative observation: seeded with the 2021 AlphaFold paper, the top-ranked foundational paper was Anfinsen's 1973 "Principles that Govern the Folding of Protein Chains", the work that founded the protein-folding problem. This is the behaviour the design intends. It is an anecdote, not a measurement. No relevance judgement study was conducted, no comparison against unweighted PageRank was run, and a single favourable example does not establish that evidence weighting improves ranking. Section 7.3 records this as the principal unaddressed question.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6.6 Performance</w:t>
      </w:r>
    </w:p>
    <w:p>
      <w:pPr>
        <w:pStyle w:val="Heading3"/>
        <w:keepNext/>
        <w:spacing w:after="120" w:before="240"/>
      </w:pPr>
      <w:r>
        <w:rPr>
          <w:rFonts w:ascii="Arial" w:cs="Arial" w:eastAsia="Arial" w:hAnsi="Arial"/>
          <w:b w:val="false"/>
          <w:bCs w:val="false"/>
          <w:color w:val="1F784E"/>
          <w:sz w:val="24"/>
          <w:szCs w:val="24"/>
        </w:rPr>
        <w:t xml:space="preserve">6.6.1 Stage breakdown</w:t>
      </w:r>
    </w:p>
    <w:p>
      <w:pPr>
        <w:spacing w:after="60" w:before="60" w:line="276"/>
      </w:pPr>
      <w:r>
        <w:rPr>
          <w:rFonts w:ascii="Arial" w:cs="Arial" w:eastAsia="Arial" w:hAnsi="Arial"/>
          <w:color w:val="1B2631"/>
          <w:sz w:val="22"/>
          <w:szCs w:val="22"/>
        </w:rPr>
        <w:t xml:space="preserve">Instrumented 40-paper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Time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Share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Resolve seed (3 providers in parallel)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1.8 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Citation traversal (network-bound)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17.5 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62.6%</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Population extraction (local)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7.9 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28.3%</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Edge weighting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0.00 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 construction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0.00 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PageRank ranking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0.7 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2.5%</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Path ranking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0.00 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27.9 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
            </w:r>
          </w:p>
        </w:tc>
      </w:tr>
    </w:tbl>
    <w:p>
      <w:pPr>
        <w:spacing w:before="120"/>
      </w:pPr>
      <w:r>
        <w:t xml:space="preserve"/>
      </w:r>
    </w:p>
    <w:p>
      <w:pPr>
        <w:spacing w:after="60" w:before="60" w:line="276"/>
      </w:pPr>
      <w:r>
        <w:rPr>
          <w:rFonts w:ascii="Arial" w:cs="Arial" w:eastAsia="Arial" w:hAnsi="Arial"/>
          <w:color w:val="1B2631"/>
          <w:sz w:val="22"/>
          <w:szCs w:val="22"/>
        </w:rPr>
        <w:t xml:space="preserve">This answers RQ4. The system is I/O-bound: 58 HTTP requests across three providers dominate, and all graph analytics together are 2.5% of runtime. The graph algorithms are not the bottleneck and, at this scale, never will be, which retrospectively validates the choice of an in-memory graph over a database (Section 5.1). Population extraction at 28% is now the second cost and the first place local optimisation would pay.</w:t>
      </w:r>
    </w:p>
    <w:p>
      <w:pPr>
        <w:pStyle w:val="Heading3"/>
        <w:keepNext/>
        <w:spacing w:after="120" w:before="240"/>
      </w:pPr>
      <w:r>
        <w:rPr>
          <w:rFonts w:ascii="Arial" w:cs="Arial" w:eastAsia="Arial" w:hAnsi="Arial"/>
          <w:b w:val="false"/>
          <w:bCs w:val="false"/>
          <w:color w:val="1F784E"/>
          <w:sz w:val="24"/>
          <w:szCs w:val="24"/>
        </w:rPr>
        <w:t xml:space="preserve">6.6.2 Scaling with graph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max_total_papers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Runtime</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60</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30 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31 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200</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209 s</w:t>
            </w:r>
          </w:p>
        </w:tc>
      </w:tr>
    </w:tbl>
    <w:p>
      <w:pPr>
        <w:spacing w:before="120"/>
      </w:pPr>
      <w:r>
        <w:t xml:space="preserve"/>
      </w:r>
    </w:p>
    <w:p>
      <w:pPr>
        <w:spacing w:after="60" w:before="60" w:line="276"/>
      </w:pPr>
      <w:r>
        <w:rPr>
          <w:rFonts w:ascii="Arial" w:cs="Arial" w:eastAsia="Arial" w:hAnsi="Arial"/>
          <w:color w:val="1B2631"/>
          <w:sz w:val="22"/>
          <w:szCs w:val="22"/>
        </w:rPr>
        <w:t xml:space="preserve">Growth from 60 to 100 is nearly free because batching amortises the additional lookups. The jump to 200 is disproportionate: the graph becomes substantially denser, so depth-2 expansion covers many more nodes. NFR-1 (under 60 s) holds at 100 papers and fails at 200.</w:t>
      </w:r>
    </w:p>
    <w:p>
      <w:pPr>
        <w:pStyle w:val="Heading3"/>
        <w:keepNext/>
        <w:spacing w:after="120" w:before="240"/>
      </w:pPr>
      <w:r>
        <w:rPr>
          <w:rFonts w:ascii="Arial" w:cs="Arial" w:eastAsia="Arial" w:hAnsi="Arial"/>
          <w:b w:val="false"/>
          <w:bCs w:val="false"/>
          <w:color w:val="1F784E"/>
          <w:sz w:val="24"/>
          <w:szCs w:val="24"/>
        </w:rPr>
        <w:t xml:space="preserve">6.6.3 Effect of connection pooling</w:t>
      </w:r>
    </w:p>
    <w:p>
      <w:pPr>
        <w:spacing w:after="60" w:before="60" w:line="276"/>
      </w:pPr>
      <w:r>
        <w:rPr>
          <w:rFonts w:ascii="Arial" w:cs="Arial" w:eastAsia="Arial" w:hAnsi="Arial"/>
          <w:color w:val="1B2631"/>
          <w:sz w:val="22"/>
          <w:szCs w:val="22"/>
        </w:rPr>
        <w:t xml:space="preserve">Each provider request originally created a fresh HTTP client, paying a full TCP and TLS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Mode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Median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Total (8 sequential requests)</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New client per request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1.03 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8.72 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One pooled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0.42 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3.65 s</w:t>
            </w:r>
          </w:p>
        </w:tc>
      </w:tr>
    </w:tbl>
    <w:p>
      <w:pPr>
        <w:spacing w:before="120"/>
      </w:pPr>
      <w:r>
        <w:t xml:space="preserve"/>
      </w:r>
    </w:p>
    <w:p>
      <w:pPr>
        <w:spacing w:after="60" w:before="60" w:line="276"/>
      </w:pPr>
      <w:r>
        <w:rPr>
          <w:rFonts w:ascii="Arial" w:cs="Arial" w:eastAsia="Arial" w:hAnsi="Arial"/>
          <w:color w:val="1B2631"/>
          <w:sz w:val="22"/>
          <w:szCs w:val="22"/>
        </w:rPr>
        <w:t xml:space="preserve">Approximately 634 ms of handshake per request, 58% of the time each call took. On a full run with identical output: | | Before | After | |---|---:|---:| | Mean request latency | 2,893 ms | 573 ms | | 40-paper run | 93.3 s | 27.9 s |</w:t>
      </w:r>
    </w:p>
    <w:p>
      <w:pPr>
        <w:pStyle w:val="Heading3"/>
        <w:keepNext/>
        <w:spacing w:after="120" w:before="240"/>
      </w:pPr>
      <w:r>
        <w:rPr>
          <w:rFonts w:ascii="Arial" w:cs="Arial" w:eastAsia="Arial" w:hAnsi="Arial"/>
          <w:b w:val="false"/>
          <w:bCs w:val="false"/>
          <w:color w:val="1F784E"/>
          <w:sz w:val="24"/>
          <w:szCs w:val="24"/>
        </w:rPr>
        <w:t xml:space="preserve">6.6.4 Path ranking complexity</w:t>
      </w:r>
    </w:p>
    <w:p>
      <w:pPr>
        <w:spacing w:after="60" w:before="60" w:line="276"/>
      </w:pPr>
      <w:r>
        <w:rPr>
          <w:rFonts w:ascii="Arial" w:cs="Arial" w:eastAsia="Arial" w:hAnsi="Arial"/>
          <w:color w:val="1B2631"/>
          <w:sz w:val="22"/>
          <w:szCs w:val="22"/>
        </w:rPr>
        <w:t xml:space="preserve">The original path ranking called all</w:t>
      </w:r>
      <w:r>
        <w:rPr>
          <w:rFonts w:ascii="Arial" w:cs="Arial" w:eastAsia="Arial" w:hAnsi="Arial"/>
          <w:color w:val="1B2631"/>
          <w:sz w:val="22"/>
          <w:szCs w:val="22"/>
        </w:rPr>
        <w:t xml:space="preserve">_</w:t>
      </w:r>
      <w:r>
        <w:rPr>
          <w:rFonts w:ascii="Arial" w:cs="Arial" w:eastAsia="Arial" w:hAnsi="Arial"/>
          <w:color w:val="1B2631"/>
          <w:sz w:val="22"/>
          <w:szCs w:val="22"/>
        </w:rPr>
        <w:t xml:space="preserve">simple</w:t>
      </w:r>
      <w:r>
        <w:rPr>
          <w:rFonts w:ascii="Arial" w:cs="Arial" w:eastAsia="Arial" w:hAnsi="Arial"/>
          <w:color w:val="1B2631"/>
          <w:sz w:val="22"/>
          <w:szCs w:val="22"/>
        </w:rPr>
        <w:t xml:space="preserve">_</w:t>
      </w:r>
      <w:r>
        <w:rPr>
          <w:rFonts w:ascii="Arial" w:cs="Arial" w:eastAsia="Arial" w:hAnsi="Arial"/>
          <w:color w:val="1B2631"/>
          <w:sz w:val="22"/>
          <w:szCs w:val="22"/>
        </w:rPr>
        <w:t xml:space="preserve">paths once per target node, re-walking the reachable subgraph for every node in the graph, and materialised a result dictionary for every path before discarding all but ten. Measured on synthetic layered 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Nodes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Edges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Before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After</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Speed-up</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61</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820</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3.53 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0.03 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126×</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91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1,830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11.92 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0.06 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191×</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151</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5,050</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117.96 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0.27 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434×</w:t>
            </w:r>
          </w:p>
        </w:tc>
      </w:tr>
    </w:tbl>
    <w:p>
      <w:pPr>
        <w:spacing w:before="120"/>
      </w:pPr>
      <w:r>
        <w:t xml:space="preserve"/>
      </w:r>
    </w:p>
    <w:p>
      <w:pPr>
        <w:spacing w:after="60" w:before="60" w:line="276"/>
      </w:pPr>
      <w:r>
        <w:rPr>
          <w:rFonts w:ascii="Arial" w:cs="Arial" w:eastAsia="Arial" w:hAnsi="Arial"/>
          <w:color w:val="1B2631"/>
          <w:sz w:val="22"/>
          <w:szCs w:val="22"/>
        </w:rPr>
        <w:t xml:space="preserve">The redesign, one depth-limited DFS feeding a bounded heap, returns an identical top-ten (verified by comparing path sets and scores against the exhaustive computation). The speed-up widens with size because the original was O(nodes × paths) and the replacement is O(paths).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6.7 Methodological Note: Reference Verification</w:t>
      </w:r>
    </w:p>
    <w:p>
      <w:pPr>
        <w:spacing w:after="60" w:before="60" w:line="276"/>
      </w:pPr>
      <w:r>
        <w:rPr>
          <w:rFonts w:ascii="Arial" w:cs="Arial" w:eastAsia="Arial" w:hAnsi="Arial"/>
          <w:color w:val="1B2631"/>
          <w:sz w:val="22"/>
          <w:szCs w:val="22"/>
        </w:rPr>
        <w:t xml:space="preserve">The reference list was verified programmatically: every candidate DOI was resolved against Crossref, with OpenAlex as fallback, and the returned title compared against the intended work.</w:t>
      </w:r>
    </w:p>
    <w:p>
      <w:pPr>
        <w:spacing w:after="60" w:before="60" w:line="276"/>
      </w:pPr>
      <w:r>
        <w:rPr>
          <w:rFonts w:ascii="Arial" w:cs="Arial" w:eastAsia="Arial" w:hAnsi="Arial"/>
          <w:color w:val="1B2631"/>
          <w:sz w:val="22"/>
          <w:szCs w:val="22"/>
        </w:rPr>
        <w:t xml:space="preserve">This caught three identifiers that had been assigned incorrectly: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Key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Assigned DOI</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actually is</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Europe PMC</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10.1093/nar/gkz947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Expression Atlas update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PageRank on citations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10.1016/j.joi.2007.01.001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 journal-impact-factor rank-order paper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Trialstreamer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10.1093/jamia/ocv044</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RobotReviewer</w:t>
            </w:r>
          </w:p>
        </w:tc>
      </w:tr>
    </w:tbl>
    <w:p>
      <w:pPr>
        <w:spacing w:before="120"/>
      </w:pPr>
      <w:r>
        <w:t xml:space="preserve"/>
      </w:r>
    </w:p>
    <w:p>
      <w:pPr>
        <w:spacing w:after="60" w:before="60" w:line="276"/>
      </w:pPr>
      <w:r>
        <w:rPr>
          <w:rFonts w:ascii="Arial" w:cs="Arial" w:eastAsia="Arial" w:hAnsi="Arial"/>
          <w:color w:val="1B2631"/>
          <w:sz w:val="22"/>
          <w:szCs w:val="22"/>
        </w:rPr>
        <w:t xml:space="preserve">A fourth candidate, the 1999 PageRank technical report, has no resolvable DOI and was dropped rather than cited with a fabricated identifier; PageRank is cited through Brin and Page (1998) and Chen et al. (2007) instead.</w:t>
      </w:r>
    </w:p>
    <w:p>
      <w:pPr>
        <w:spacing w:after="60" w:before="60" w:line="276"/>
      </w:pPr>
      <w:r>
        <w:rPr>
          <w:rFonts w:ascii="Arial" w:cs="Arial" w:eastAsia="Arial" w:hAnsi="Arial"/>
          <w:color w:val="1B2631"/>
          <w:sz w:val="22"/>
          <w:szCs w:val="22"/>
        </w:rPr>
        <w:t xml:space="preserve">This is reported because it is a result about method. Citations composed from memory are wrong at a non-trivial rate, three of twenty-nine here, roughly 10%, and the errors are invisible without verification, since a plausible DOI looks exactly like a correct one. All twenty-nine entries in the final bibliography resolve.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6.8 Summary of Results Against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Objective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Evidence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 Identifier normalisation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§6.2, automated tests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 Multi-provider metadata resolution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20/20 resolved, §6.2</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 Bidirectional bounded traversal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 Population candidate extraction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 0.917 / R 1.000, §6.4</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 Candidate resolution with confidence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Partially met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Value 10/11; confidence uncalibrated, §6.4.4</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 Evidence-based edge weighting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§5.6</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7. Foundational ranking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 unvalidated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Produced; no relevance study, §6.5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 API and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§5.9</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9. Module-level evaluation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This chapter</w:t>
            </w:r>
          </w:p>
        </w:tc>
      </w:tr>
    </w:tbl>
    <w:p>
      <w:pPr>
        <w:spacing w:before="120"/>
      </w:pPr>
      <w:r>
        <w:t xml:space="preserve"/>
      </w:r>
    </w:p>
    <w:p>
      <w:pPr>
        <w:spacing w:after="60" w:before="60" w:line="276"/>
      </w:pPr>
      <w:r>
        <w:rPr>
          <w:rFonts w:ascii="Arial" w:cs="Arial" w:eastAsia="Arial" w:hAnsi="Arial"/>
          <w:color w:val="1B2631"/>
          <w:sz w:val="22"/>
          <w:szCs w:val="22"/>
        </w:rPr>
        <w:t xml:space="preserve">Two objectives are qualified rather than met outright, and the qualifications are the honest findings of the evaluation: confidence scores do not discriminate correct from incorrect extractions (6.4.4), and the ranking, while producing defensible output on inspection, has not been validated against human judgement (6.5).</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6 (continued): Extended Analysis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6.9 Performance by Study Design</w:t>
      </w:r>
    </w:p>
    <w:p>
      <w:pPr>
        <w:spacing w:after="60" w:before="60" w:line="276"/>
      </w:pPr>
      <w:r>
        <w:rPr>
          <w:rFonts w:ascii="Arial" w:cs="Arial" w:eastAsia="Arial" w:hAnsi="Arial"/>
          <w:color w:val="1B2631"/>
          <w:sz w:val="22"/>
          <w:szCs w:val="22"/>
        </w:rPr>
        <w:t xml:space="preserve">Aggregate metrics conceal where a system succeeds and fails. Breaking the gold-standard results down by study design shows that performance is not uniform, and that the failures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Design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Positives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Correct decision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Exact value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Mean confidence</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Randomised controlled trial</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0.96</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Cohort study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0.90</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Case series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2/2</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1/2</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0.85</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Epidemiological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0.85</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Modelling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0.85</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Review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0.00</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Virus characterisation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2/2</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0.00</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Computational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0.00</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Guideline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0.00</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Systematic review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0.90</w:t>
            </w:r>
          </w:p>
        </w:tc>
      </w:tr>
    </w:tbl>
    <w:p>
      <w:pPr>
        <w:spacing w:before="120"/>
      </w:pPr>
      <w:r>
        <w:t xml:space="preserve"/>
      </w:r>
    </w:p>
    <w:p>
      <w:pPr>
        <w:spacing w:after="60" w:before="60" w:line="276"/>
      </w:pPr>
      <w:r>
        <w:rPr>
          <w:rFonts w:ascii="Arial" w:cs="Arial" w:eastAsia="Arial" w:hAnsi="Arial"/>
          <w:color w:val="1B2631"/>
          <w:sz w:val="22"/>
          <w:szCs w:val="22"/>
        </w:rPr>
        <w:t xml:space="preserve">Gold populations span 41 to 43,548 subjects, median 1,099.</w:t>
      </w:r>
    </w:p>
    <w:p>
      <w:pPr>
        <w:spacing w:after="60" w:before="60" w:line="276"/>
      </w:pPr>
      <w:r>
        <w:rPr>
          <w:rFonts w:ascii="Arial" w:cs="Arial" w:eastAsia="Arial" w:hAnsi="Arial"/>
          <w:color w:val="1B2631"/>
          <w:sz w:val="22"/>
          <w:szCs w:val="22"/>
        </w:rPr>
        <w:t xml:space="preserve">Three patterns are visible.</w:t>
      </w:r>
    </w:p>
    <w:p>
      <w:pPr>
        <w:spacing w:after="60" w:before="60" w:line="276"/>
      </w:pPr>
      <w:r>
        <w:rPr>
          <w:rFonts w:ascii="Arial" w:cs="Arial" w:eastAsia="Arial" w:hAnsi="Arial"/>
          <w:color w:val="1B2631"/>
          <w:sz w:val="22"/>
          <w:szCs w:val="22"/>
        </w:rPr>
        <w:t xml:space="preserve">Randomised trials are the easy case, and the system is built for them. Five of five correct, with the highest mean confidence (0.96). RCT abstracts follow a reporting convention that surface patterns capture well: a single headline number introduced by randomised, assigned or enrolled. This is unsurprising given that the pattern set was written with trial phrasing in mind, and it should temper any generalisation from the headline F1.</w:t>
      </w:r>
    </w:p>
    <w:p>
      <w:pPr>
        <w:spacing w:after="60" w:before="60" w:line="276"/>
      </w:pPr>
      <w:r>
        <w:rPr>
          <w:rFonts w:ascii="Arial" w:cs="Arial" w:eastAsia="Arial" w:hAnsi="Arial"/>
          <w:color w:val="1B2631"/>
          <w:sz w:val="22"/>
          <w:szCs w:val="22"/>
        </w:rPr>
        <w:t xml:space="preserve">Clear negatives are handled cleanly. Reviews, guidelines, virus characterisation and computational papers were all correctly rejected, with confidence 0.00, including the hard negatives containing an ImageNet dataset size and an epidemic case tally. The ignore rules and the requirement that a number appear in a population-bearing construction are doing real work here.</w:t>
      </w:r>
    </w:p>
    <w:p>
      <w:pPr>
        <w:spacing w:after="60" w:before="60" w:line="276"/>
      </w:pPr>
      <w:r>
        <w:rPr>
          <w:rFonts w:ascii="Arial" w:cs="Arial" w:eastAsia="Arial" w:hAnsi="Arial"/>
          <w:color w:val="1B2631"/>
          <w:sz w:val="22"/>
          <w:szCs w:val="22"/>
        </w:rPr>
        <w:t xml:space="preserve">The two failures are both structural, not lexical. The case-series miss (138 predicted as 36) and the systematic-review false positive (27 at confidence 0.90) share a cause: both abstracts contain many numbers in population-like constructions, and the system has no mechanism for deciding which one the abstract is about. In a case series, subgroup counts compete with the cohort total; in a systematic review, counts of included studies compete with nothing at all, because there is no cohort.</w:t>
      </w:r>
    </w:p>
    <w:p>
      <w:pPr>
        <w:spacing w:after="60" w:before="60" w:line="276"/>
      </w:pPr>
      <w:r>
        <w:rPr>
          <w:rFonts w:ascii="Arial" w:cs="Arial" w:eastAsia="Arial" w:hAnsi="Arial"/>
          <w:color w:val="1B2631"/>
          <w:sz w:val="22"/>
          <w:szCs w:val="22"/>
        </w:rPr>
        <w:t xml:space="preserve">The systematic-review row is the most informative line in the table. It is the only design where the system was wrong and confident, and it is the design whose abstracts most resemble clinical reports without describing a cohort.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6.10 The Confidence Calibration Failure in Detail</w:t>
      </w:r>
    </w:p>
    <w:p>
      <w:pPr>
        <w:spacing w:after="60" w:before="60" w:line="276"/>
      </w:pPr>
      <w:r>
        <w:rPr>
          <w:rFonts w:ascii="Arial" w:cs="Arial" w:eastAsia="Arial" w:hAnsi="Arial"/>
          <w:color w:val="1B2631"/>
          <w:sz w:val="22"/>
          <w:szCs w:val="22"/>
        </w:rPr>
        <w:t xml:space="preserve">Section 6.4.4 reported that mean confidence was 0.91 when extraction was correct and 0.90 when it was wrong. The design breakdown explains why: there is no model behind the score at all, so there is nothing that could have been fitted well or badly.</w:t>
      </w:r>
    </w:p>
    <w:p>
      <w:pPr>
        <w:spacing w:after="60" w:before="60" w:line="276"/>
      </w:pPr>
      <w:r>
        <w:rPr>
          <w:rFonts w:ascii="Arial" w:cs="Arial" w:eastAsia="Arial" w:hAnsi="Arial"/>
          <w:color w:val="1B2631"/>
          <w:sz w:val="22"/>
          <w:szCs w:val="22"/>
        </w:rPr>
        <w:t xml:space="preserve">Confidence is computed as:</w:t>
      </w:r>
    </w:p>
    <w:p>
      <w:pPr>
        <w:pBdr>
          <w:left w:val="single" w:color="528BFF" w:sz="10"/>
        </w:pBdr>
        <w:shd w:fill="282C34" w:val="clear"/>
        <w:spacing w:after="60" w:before="60" w:line="220"/>
        <w:ind w:left="360"/>
      </w:pPr>
      <w:r>
        <w:rPr>
          <w:rFonts w:ascii="Courier New" w:cs="Courier New" w:eastAsia="Courier New" w:hAnsi="Courier New"/>
          <w:color w:val="E3E6EB"/>
          <w:sz w:val="18"/>
          <w:szCs w:val="18"/>
        </w:rPr>
        <w:t xml:space="preserve">confidence = min(1.0, pattern_weight + section_bonus)</w:t>
      </w:r>
    </w:p>
    <w:p>
      <w:pPr>
        <w:spacing w:after="60" w:before="60" w:line="276"/>
      </w:pPr>
      <w:r>
        <w:rPr>
          <w:rFonts w:ascii="Arial" w:cs="Arial" w:eastAsia="Arial" w:hAnsi="Arial"/>
          <w:color w:val="1B2631"/>
          <w:sz w:val="22"/>
          <w:szCs w:val="22"/>
        </w:rPr>
        <w:t xml:space="preserve">pattern</w:t>
      </w:r>
      <w:r>
        <w:rPr>
          <w:rFonts w:ascii="Arial" w:cs="Arial" w:eastAsia="Arial" w:hAnsi="Arial"/>
          <w:color w:val="1B2631"/>
          <w:sz w:val="22"/>
          <w:szCs w:val="22"/>
        </w:rPr>
        <w:t xml:space="preserve">_</w:t>
      </w:r>
      <w:r>
        <w:rPr>
          <w:rFonts w:ascii="Arial" w:cs="Arial" w:eastAsia="Arial" w:hAnsi="Arial"/>
          <w:color w:val="1B2631"/>
          <w:sz w:val="22"/>
          <w:szCs w:val="22"/>
        </w:rPr>
        <w:t xml:space="preserve">weight is a constant attached to each regular expression, chosen by the developer; section</w:t>
      </w:r>
      <w:r>
        <w:rPr>
          <w:rFonts w:ascii="Arial" w:cs="Arial" w:eastAsia="Arial" w:hAnsi="Arial"/>
          <w:color w:val="1B2631"/>
          <w:sz w:val="22"/>
          <w:szCs w:val="22"/>
        </w:rPr>
        <w:t xml:space="preserve">_</w:t>
      </w:r>
      <w:r>
        <w:rPr>
          <w:rFonts w:ascii="Arial" w:cs="Arial" w:eastAsia="Arial" w:hAnsi="Arial"/>
          <w:color w:val="1B2631"/>
          <w:sz w:val="22"/>
          <w:szCs w:val="22"/>
        </w:rPr>
        <w:t xml:space="preserve">bonus is 0.1 when the text came from an abstract. The score is therefore a property of which pattern fired, fixed before any data was seen. It cannot vary with evidence, because nothing in its computation depends on the input beyond pattern identity.</w:t>
      </w:r>
    </w:p>
    <w:p>
      <w:pPr>
        <w:spacing w:after="60" w:before="60" w:line="276"/>
      </w:pPr>
      <w:r>
        <w:rPr>
          <w:rFonts w:ascii="Arial" w:cs="Arial" w:eastAsia="Arial" w:hAnsi="Arial"/>
          <w:color w:val="1B2631"/>
          <w:sz w:val="22"/>
          <w:szCs w:val="22"/>
        </w:rPr>
        <w:t xml:space="preserve">This has a consequence that the aggregate numbers hide. A pattern assigned weight 0.9 produces confidence 0.9 whether it matched the cohort total of a well-structured trial abstract or a count of reviewed studies in a systematic review. The systematic-review false positive carries confidence 0.90 for exactly this reason: it matched a high-weight pattern, and the system has no means of noticing that the match is out of domain.</w:t>
      </w:r>
    </w:p>
    <w:p>
      <w:pPr>
        <w:spacing w:after="60" w:before="60" w:line="276"/>
      </w:pPr>
      <w:r>
        <w:rPr>
          <w:rFonts w:ascii="Arial" w:cs="Arial" w:eastAsia="Arial" w:hAnsi="Arial"/>
          <w:color w:val="1B2631"/>
          <w:sz w:val="22"/>
          <w:szCs w:val="22"/>
        </w:rPr>
        <w:t xml:space="preserve">The fix is not to adjust the weights. It is to make confidence a function of observed correctness, fitting a calibration model over features such as pattern identity, the number and spread of competing candidates, sentence position, and the presence of design-indicating terms, which requires labelled data at a scale the present gold standard does not reach. Section 8.2.1 and 8.2.3 are therefore coupled: calibration is blocked on corpus size.</w:t>
      </w:r>
    </w:p>
    <w:p>
      <w:pPr>
        <w:spacing w:after="60" w:before="60" w:line="276"/>
      </w:pPr>
      <w:r>
        <w:rPr>
          <w:rFonts w:ascii="Arial" w:cs="Arial" w:eastAsia="Arial" w:hAnsi="Arial"/>
          <w:color w:val="1B2631"/>
          <w:sz w:val="22"/>
          <w:szCs w:val="22"/>
        </w:rPr>
        <w:t xml:space="preserve">Until then, the honest framing for a user is that the confidence score indicates how specific the matched pattern was, not how likely the answer is to be right. Section 5.13.4 notes that the interface does not currently make this distinction.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6.11 Sensitivity of the Graph to Seed Choice</w:t>
      </w:r>
    </w:p>
    <w:p>
      <w:pPr>
        <w:spacing w:after="60" w:before="60" w:line="276"/>
      </w:pPr>
      <w:r>
        <w:rPr>
          <w:rFonts w:ascii="Arial" w:cs="Arial" w:eastAsia="Arial" w:hAnsi="Arial"/>
          <w:color w:val="1B2631"/>
          <w:sz w:val="22"/>
          <w:szCs w:val="22"/>
        </w:rPr>
        <w:t xml:space="preserve">The three traversals in Section 6.5 produced markedly different graph structures from the same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Seed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Nodes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Edges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Mean degree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Time</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Guan et al. 2020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Clinical (COVID)</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19.9 s</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McMurray et al. 2019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Clinical (cardiology)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26.3 s</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Jumper et al. 2021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Computational biology</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39</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1.95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10.7 s</w:t>
            </w:r>
          </w:p>
        </w:tc>
      </w:tr>
    </w:tbl>
    <w:p>
      <w:pPr>
        <w:spacing w:before="120"/>
      </w:pPr>
      <w:r>
        <w:t xml:space="preserve"/>
      </w:r>
    </w:p>
    <w:p>
      <w:pPr>
        <w:spacing w:after="60" w:before="60" w:line="276"/>
      </w:pPr>
      <w:r>
        <w:rPr>
          <w:rFonts w:ascii="Arial" w:cs="Arial" w:eastAsia="Arial" w:hAnsi="Arial"/>
          <w:color w:val="1B2631"/>
          <w:sz w:val="22"/>
          <w:szCs w:val="22"/>
        </w:rPr>
        <w:t xml:space="preserve">Mean degree differs by a factor of 2.3 between the clinical graphs and the AlphaFold graph. Two explanations are consistent with the data, and the evaluation does not distinguish them.</w:t>
      </w:r>
    </w:p>
    <w:p>
      <w:pPr>
        <w:spacing w:after="60" w:before="60" w:line="276"/>
      </w:pPr>
      <w:r>
        <w:rPr>
          <w:rFonts w:ascii="Arial" w:cs="Arial" w:eastAsia="Arial" w:hAnsi="Arial"/>
          <w:color w:val="1B2631"/>
          <w:sz w:val="22"/>
          <w:szCs w:val="22"/>
        </w:rPr>
        <w:t xml:space="preserve">The first is topical: the AlphaFold neighbourhood spans structural biology, machine learning and chemistry, and papers from different fields cite each other less densely than papers within a tight clinical literature do. The second is temporal: a 2021 paper's citing works are themselves recent and have had less time to accumulate the cross-citations that create density.</w:t>
      </w:r>
    </w:p>
    <w:p>
      <w:pPr>
        <w:spacing w:after="60" w:before="60" w:line="276"/>
      </w:pPr>
      <w:r>
        <w:rPr>
          <w:rFonts w:ascii="Arial" w:cs="Arial" w:eastAsia="Arial" w:hAnsi="Arial"/>
          <w:color w:val="1B2631"/>
          <w:sz w:val="22"/>
          <w:szCs w:val="22"/>
        </w:rPr>
        <w:t xml:space="preserve">Distinguishing these would require holding field constant and varying year, or vice versa, across many more seeds than three. It is noted here because it bears on how a user should read a sparse graph: low density may indicate an interdisciplinary or recent seed rather than a thin literature, and the system currently offers no signal to tell them apart.</w:t>
      </w:r>
    </w:p>
    <w:p>
      <w:pPr>
        <w:spacing w:after="60" w:before="60" w:line="276"/>
      </w:pPr>
      <w:r>
        <w:rPr>
          <w:rFonts w:ascii="Arial" w:cs="Arial" w:eastAsia="Arial" w:hAnsi="Arial"/>
          <w:color w:val="1B2631"/>
          <w:sz w:val="22"/>
          <w:szCs w:val="22"/>
        </w:rPr>
        <w:t xml:space="preserve">The runtime difference follows directly from density. Fewer edges means fewer neighbours to resolve, which reinforces the finding in Section 6.6.1 that cost is driven by the number of external lookups rather than by graph computation.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6.12 What the Abstract Backfill Changed, Stage by Stage</w:t>
      </w:r>
    </w:p>
    <w:p>
      <w:pPr>
        <w:spacing w:after="60" w:before="60" w:line="276"/>
      </w:pPr>
      <w:r>
        <w:rPr>
          <w:rFonts w:ascii="Arial" w:cs="Arial" w:eastAsia="Arial" w:hAnsi="Arial"/>
          <w:color w:val="1B2631"/>
          <w:sz w:val="22"/>
          <w:szCs w:val="22"/>
        </w:rPr>
        <w:t xml:space="preserve">The effect of the Europe PMC backfill is worth tracing through the pipeline, because it illustrates how an upstream data gap presents as a downstream model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Before backfill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After backfill</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Papers in graph</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Papers with abstract 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29 (72%)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 (100%)</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Papers yielding candidates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Papers with a resolved n_eff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15 (38%)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 (50%)</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High confidence (≥ 0.8)</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Status missing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w:t>
            </w:r>
          </w:p>
        </w:tc>
      </w:tr>
    </w:tbl>
    <w:p>
      <w:pPr>
        <w:spacing w:before="120"/>
      </w:pPr>
      <w:r>
        <w:t xml:space="preserve"/>
      </w:r>
    </w:p>
    <w:p>
      <w:pPr>
        <w:spacing w:after="60" w:before="60" w:line="276"/>
      </w:pPr>
      <w:r>
        <w:rPr>
          <w:rFonts w:ascii="Arial" w:cs="Arial" w:eastAsia="Arial" w:hAnsi="Arial"/>
          <w:color w:val="1B2631"/>
          <w:sz w:val="22"/>
          <w:szCs w:val="22"/>
        </w:rPr>
        <w:t xml:space="preserve">Eleven papers moved from "no text" to "text available", and five of those then yielded a population. The remaining six had text but no reportable population. That is correct: they were reviews, guidelines and discovery papers.</w:t>
      </w:r>
    </w:p>
    <w:p>
      <w:pPr>
        <w:spacing w:after="60" w:before="60" w:line="276"/>
      </w:pPr>
      <w:r>
        <w:rPr>
          <w:rFonts w:ascii="Arial" w:cs="Arial" w:eastAsia="Arial" w:hAnsi="Arial"/>
          <w:color w:val="1B2631"/>
          <w:sz w:val="22"/>
          <w:szCs w:val="22"/>
        </w:rPr>
        <w:t xml:space="preserve">The distinction matters for how the result is read. Before the backfill, 25 of 40 papers reported missing, and nothing in the output distinguished no abstract available from abstract read, no population present. Those are different facts about a paper, and only the second is a statement about the paper itself. The warnings described in Section 4.7 were added so that the output now separates them.</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6.13 Cumulative Effect of the Corrections</w:t>
      </w:r>
    </w:p>
    <w:p>
      <w:pPr>
        <w:spacing w:after="60" w:before="60" w:line="276"/>
      </w:pPr>
      <w:r>
        <w:rPr>
          <w:rFonts w:ascii="Arial" w:cs="Arial" w:eastAsia="Arial" w:hAnsi="Arial"/>
          <w:color w:val="1B2631"/>
          <w:sz w:val="22"/>
          <w:szCs w:val="22"/>
        </w:rPr>
        <w:t xml:space="preserve">Measured on the same 40-paper graph across the correction sequence in Chapter 5. Each row is the state after the named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Papers with n_eff</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High confidence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Runtime</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Initial (as delivered before measurement)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7 (18%)</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93.3 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After per-span ignore matching (§5.5)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15 (38%)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After connection pooling (§6.6.3)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27.9 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After Europe PMC backfill (§6.3)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 (50%)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27.0 s</w:t>
            </w:r>
          </w:p>
        </w:tc>
      </w:tr>
    </w:tbl>
    <w:p>
      <w:pPr>
        <w:spacing w:before="120"/>
      </w:pPr>
      <w:r>
        <w:t xml:space="preserve"/>
      </w:r>
    </w:p>
    <w:p>
      <w:pPr>
        <w:spacing w:after="60" w:before="60" w:line="276"/>
      </w:pPr>
      <w:r>
        <w:rPr>
          <w:rFonts w:ascii="Arial" w:cs="Arial" w:eastAsia="Arial" w:hAnsi="Arial"/>
          <w:color w:val="1B2631"/>
          <w:sz w:val="22"/>
          <w:szCs w:val="22"/>
        </w:rPr>
        <w:t xml:space="preserve">Coverage of extractable evidence rose from 18% to 50% of the graph, and high-confidence extractions from 3 to 11, while runtime fell by roughly 71%.</w:t>
      </w:r>
    </w:p>
    <w:p>
      <w:pPr>
        <w:spacing w:after="60" w:before="60" w:line="276"/>
      </w:pPr>
      <w:r>
        <w:rPr>
          <w:rFonts w:ascii="Arial" w:cs="Arial" w:eastAsia="Arial" w:hAnsi="Arial"/>
          <w:color w:val="1B2631"/>
          <w:sz w:val="22"/>
          <w:szCs w:val="22"/>
        </w:rPr>
        <w:t xml:space="preserve">The composition of that gain is the point. Of the 13 additional papers with evidence, eight came from correcting extraction logic and five from querying a second data source. The second intervention is far cheaper, one additional API call per run against a rewrite of the ignore-matching logic, and would not have been identified without separating "no text" from "extraction failed" in the measurement. Section 7.1.1 draws the general lesson.</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7: Discussion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7.1 Interpretation of Results</w:t>
      </w:r>
    </w:p>
    <w:p>
      <w:pPr>
        <w:pStyle w:val="Heading3"/>
        <w:keepNext/>
        <w:spacing w:after="120" w:before="240"/>
      </w:pPr>
      <w:r>
        <w:rPr>
          <w:rFonts w:ascii="Arial" w:cs="Arial" w:eastAsia="Arial" w:hAnsi="Arial"/>
          <w:b w:val="false"/>
          <w:bCs w:val="false"/>
          <w:color w:val="1F784E"/>
          <w:sz w:val="24"/>
          <w:szCs w:val="24"/>
        </w:rPr>
        <w:t xml:space="preserve">7.1.1 Extraction works better than the project expected; availability is the real ceiling</w:t>
      </w:r>
    </w:p>
    <w:p>
      <w:pPr>
        <w:spacing w:after="60" w:before="60" w:line="276"/>
      </w:pPr>
      <w:r>
        <w:rPr>
          <w:rFonts w:ascii="Arial" w:cs="Arial" w:eastAsia="Arial" w:hAnsi="Arial"/>
          <w:color w:val="1B2631"/>
          <w:sz w:val="22"/>
          <w:szCs w:val="22"/>
        </w:rPr>
        <w:t xml:space="preserve">The headline extraction result, precision 0.917, recall 1.000, F1 0.957, is better than a hand-written pattern system might be expected to achieve, and the temptation is to attribute this to the patterns. The measurement in Section 6.3 argues otherwise. Before the abstract backfill, 28% of papers in a representative graph could not be evaluated at all: there was no text to read. Extraction accuracy on the papers that had text was never the binding constraint; the availability of text was.</w:t>
      </w:r>
    </w:p>
    <w:p>
      <w:pPr>
        <w:spacing w:after="60" w:before="60" w:line="276"/>
      </w:pPr>
      <w:r>
        <w:rPr>
          <w:rFonts w:ascii="Arial" w:cs="Arial" w:eastAsia="Arial" w:hAnsi="Arial"/>
          <w:color w:val="1B2631"/>
          <w:sz w:val="22"/>
          <w:szCs w:val="22"/>
        </w:rPr>
        <w:t xml:space="preserve">This reframes what limits the system. On a 40-paper graph, the improvement from fixing the extraction logic (Section 5.5) raised coverage from 7 papers to 15; adding a second abstract provider raised it from 15 to 20. Data plumbing delivered as much as algorithmic work, and it is the cheaper of the two, one additional API call per run.</w:t>
      </w:r>
    </w:p>
    <w:p>
      <w:pPr>
        <w:spacing w:after="60" w:before="60" w:line="276"/>
      </w:pPr>
      <w:r>
        <w:rPr>
          <w:rFonts w:ascii="Arial" w:cs="Arial" w:eastAsia="Arial" w:hAnsi="Arial"/>
          <w:color w:val="1B2631"/>
          <w:sz w:val="22"/>
          <w:szCs w:val="22"/>
        </w:rPr>
        <w:t xml:space="preserve">The generalisable observation is that in a pipeline drawing on external catalogues, coverage gaps in the upstream source present as model failures. A paper with no abstract produces no extraction, which is indistinguishable in the output from an extraction that failed. Without separating the two, effort goes to the wrong place.</w:t>
      </w:r>
    </w:p>
    <w:p>
      <w:pPr>
        <w:pStyle w:val="Heading3"/>
        <w:keepNext/>
        <w:spacing w:after="120" w:before="240"/>
      </w:pPr>
      <w:r>
        <w:rPr>
          <w:rFonts w:ascii="Arial" w:cs="Arial" w:eastAsia="Arial" w:hAnsi="Arial"/>
          <w:b w:val="false"/>
          <w:bCs w:val="false"/>
          <w:color w:val="1F784E"/>
          <w:sz w:val="24"/>
          <w:szCs w:val="24"/>
        </w:rPr>
        <w:t xml:space="preserve">7.1.2 Semantic typing is the genuine weakness</w:t>
      </w:r>
    </w:p>
    <w:p>
      <w:pPr>
        <w:spacing w:after="60" w:before="60" w:line="276"/>
      </w:pPr>
      <w:r>
        <w:rPr>
          <w:rFonts w:ascii="Arial" w:cs="Arial" w:eastAsia="Arial" w:hAnsi="Arial"/>
          <w:color w:val="1B2631"/>
          <w:sz w:val="22"/>
          <w:szCs w:val="22"/>
        </w:rPr>
        <w:t xml:space="preserve">Type accuracy of 6/10 is the weakest result, and the errors are not random. All four are adjacent-category confusions, randomised versus enrolled versus analysed, among quantities that are frequently numerically identical. Distinguishing them requires reading the role the number plays in the study design, which is a semantic judgement rather than a lexical one. Surface patterns are the wrong instrument.</w:t>
      </w:r>
    </w:p>
    <w:p>
      <w:pPr>
        <w:spacing w:after="60" w:before="60" w:line="276"/>
      </w:pPr>
      <w:r>
        <w:rPr>
          <w:rFonts w:ascii="Arial" w:cs="Arial" w:eastAsia="Arial" w:hAnsi="Arial"/>
          <w:color w:val="1B2631"/>
          <w:sz w:val="22"/>
          <w:szCs w:val="22"/>
        </w:rPr>
        <w:t xml:space="preserve">The impact on the system is bounded, because the weighting uses the value and not the type. But the aspiration in the proposal, to classify evidence by study role, is not achieved, and a supervised model trained on PICO annotations [nye2018ebmnlp] is the natural route to it.</w:t>
      </w:r>
    </w:p>
    <w:p>
      <w:pPr>
        <w:pStyle w:val="Heading3"/>
        <w:keepNext/>
        <w:spacing w:after="120" w:before="240"/>
      </w:pPr>
      <w:r>
        <w:rPr>
          <w:rFonts w:ascii="Arial" w:cs="Arial" w:eastAsia="Arial" w:hAnsi="Arial"/>
          <w:b w:val="false"/>
          <w:bCs w:val="false"/>
          <w:color w:val="1F784E"/>
          <w:sz w:val="24"/>
          <w:szCs w:val="24"/>
        </w:rPr>
        <w:t xml:space="preserve">7.1.3 The confidence scores do not mean what they appear to</w:t>
      </w:r>
    </w:p>
    <w:p>
      <w:pPr>
        <w:spacing w:after="60" w:before="60" w:line="276"/>
      </w:pPr>
      <w:r>
        <w:rPr>
          <w:rFonts w:ascii="Arial" w:cs="Arial" w:eastAsia="Arial" w:hAnsi="Arial"/>
          <w:color w:val="1B2631"/>
          <w:sz w:val="22"/>
          <w:szCs w:val="22"/>
        </w:rPr>
        <w:t xml:space="preserve">Section 6.4.4 is, in the authors' view, the most important negative result. Mean confidence was 0.91 when the extracted value was correct and 0.90 when it was wrong. The score does not discriminate.</w:t>
      </w:r>
    </w:p>
    <w:p>
      <w:pPr>
        <w:spacing w:after="60" w:before="60" w:line="276"/>
      </w:pPr>
      <w:r>
        <w:rPr>
          <w:rFonts w:ascii="Arial" w:cs="Arial" w:eastAsia="Arial" w:hAnsi="Arial"/>
          <w:color w:val="1B2631"/>
          <w:sz w:val="22"/>
          <w:szCs w:val="22"/>
        </w:rPr>
        <w:t xml:space="preserve">This matters disproportionately because surfacing uncertainty is the system's distinguishing claim. A user filtering for high-confidence extractions would retain the false positive, a systematic review misread at confidence 0.90, alongside the correct results. The confidence currently encodes which pattern matched, a property of the system, not how likely this match is to be right, a property of the world. Those are different quantities and the interface presents the first as though it were the second.</w:t>
      </w:r>
    </w:p>
    <w:p>
      <w:pPr>
        <w:spacing w:after="60" w:before="60" w:line="276"/>
      </w:pPr>
      <w:r>
        <w:rPr>
          <w:rFonts w:ascii="Arial" w:cs="Arial" w:eastAsia="Arial" w:hAnsi="Arial"/>
          <w:color w:val="1B2631"/>
          <w:sz w:val="22"/>
          <w:szCs w:val="22"/>
        </w:rPr>
        <w:t xml:space="preserve">Nothing in the architecture prevents fixing this. Confidence would need to be calibrated against held-out labelled data, which requires a larger gold set than twenty papers.</w:t>
      </w:r>
    </w:p>
    <w:p>
      <w:pPr>
        <w:pStyle w:val="Heading3"/>
        <w:keepNext/>
        <w:spacing w:after="120" w:before="240"/>
      </w:pPr>
      <w:r>
        <w:rPr>
          <w:rFonts w:ascii="Arial" w:cs="Arial" w:eastAsia="Arial" w:hAnsi="Arial"/>
          <w:b w:val="false"/>
          <w:bCs w:val="false"/>
          <w:color w:val="1F784E"/>
          <w:sz w:val="24"/>
          <w:szCs w:val="24"/>
        </w:rPr>
        <w:t xml:space="preserve">7.1.4 The system is I/O-bound, and that is a design conclusion</w:t>
      </w:r>
    </w:p>
    <w:p>
      <w:pPr>
        <w:spacing w:after="60" w:before="60" w:line="276"/>
      </w:pPr>
      <w:r>
        <w:rPr>
          <w:rFonts w:ascii="Arial" w:cs="Arial" w:eastAsia="Arial" w:hAnsi="Arial"/>
          <w:color w:val="1B2631"/>
          <w:sz w:val="22"/>
          <w:szCs w:val="22"/>
        </w:rPr>
        <w:t xml:space="preserve">Graph analytics account for 2.5% of runtime; network calls account for 63%. Two consequences follow for anyone building similar systems. The choice of graph library is nearly irrelevant at this scale, and effort spent optimising PageRank would be wasted. Conversely, HTTP-level engineering, connection pooling, request batching, avoiding per-item lookups, produced the largest single performance gain in the project: 93.3 s to 27.9 s, a 3.3× improvement from reusing one pooled client rather than creating one per request.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7.2 Reflections on the Development Process</w:t>
      </w:r>
    </w:p>
    <w:p>
      <w:pPr>
        <w:spacing w:after="60" w:before="60" w:line="276"/>
      </w:pPr>
      <w:r>
        <w:rPr>
          <w:rFonts w:ascii="Arial" w:cs="Arial" w:eastAsia="Arial" w:hAnsi="Arial"/>
          <w:color w:val="1B2631"/>
          <w:sz w:val="22"/>
          <w:szCs w:val="22"/>
        </w:rPr>
        <w:t xml:space="preserve">The defect catalogue in Chapter 5 supports a conclusion the authors did not anticipate at the outset: a passing test suite established very little about whether this system was correct.</w:t>
      </w:r>
    </w:p>
    <w:p>
      <w:pPr>
        <w:spacing w:after="60" w:before="60" w:line="276"/>
      </w:pPr>
      <w:r>
        <w:rPr>
          <w:rFonts w:ascii="Arial" w:cs="Arial" w:eastAsia="Arial" w:hAnsi="Arial"/>
          <w:color w:val="1B2631"/>
          <w:sz w:val="22"/>
          <w:szCs w:val="22"/>
        </w:rPr>
        <w:t xml:space="preserve">Six defects reached a system with 102 passing tests. Four produced no error and no visible symptom. The traversal defect discarded roughly half of every graph while the suite passed, because the tests asserted that a run completed and returned a structure of the right shape, not that the structure bore any relation to the available literature.</w:t>
      </w:r>
    </w:p>
    <w:p>
      <w:pPr>
        <w:spacing w:after="60" w:before="60" w:line="276"/>
      </w:pPr>
      <w:r>
        <w:rPr>
          <w:rFonts w:ascii="Arial" w:cs="Arial" w:eastAsia="Arial" w:hAnsi="Arial"/>
          <w:color w:val="1B2631"/>
          <w:sz w:val="22"/>
          <w:szCs w:val="22"/>
        </w:rPr>
        <w:t xml:space="preserve">The defects that are hardest to find share a signature: they degrade rather than break. A graph with 19 nodes instead of 40 looks like a sparse literature. A malformed API filter returning HTTP 200 with zero results looks like a paper with no citing works. An edge weight of 0.0 silently rewritten to 1.0 by Python's or still yields a ranking. In each case the system produced a defensible-looking answer to the wrong question.</w:t>
      </w:r>
    </w:p>
    <w:p>
      <w:pPr>
        <w:spacing w:after="60" w:before="60" w:line="276"/>
      </w:pPr>
      <w:r>
        <w:rPr>
          <w:rFonts w:ascii="Arial" w:cs="Arial" w:eastAsia="Arial" w:hAnsi="Arial"/>
          <w:color w:val="1B2631"/>
          <w:sz w:val="22"/>
          <w:szCs w:val="22"/>
        </w:rPr>
        <w:t xml:space="preserve">What surfaced them was not more testing but measurement against known quantities: comparing the number of nodes retrieved against the number of references the provider reported, comparing extracted populations against hand-read abstracts, timing each stage. Notably, the evaluation plan that would have caught most of these was specified in the project proposal from the start and left unimplemented, the empty evaluation/ directory was itself the strongest early warning available, and nothing in the repository made its emptiness visible.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7.3 Threats to Validity</w:t>
      </w:r>
    </w:p>
    <w:p>
      <w:pPr>
        <w:pStyle w:val="Heading3"/>
        <w:keepNext/>
        <w:spacing w:after="120" w:before="240"/>
      </w:pPr>
      <w:r>
        <w:rPr>
          <w:rFonts w:ascii="Arial" w:cs="Arial" w:eastAsia="Arial" w:hAnsi="Arial"/>
          <w:b w:val="false"/>
          <w:bCs w:val="false"/>
          <w:color w:val="1F784E"/>
          <w:sz w:val="24"/>
          <w:szCs w:val="24"/>
        </w:rPr>
        <w:t xml:space="preserve">7.3.1 Construct validity</w:t>
      </w:r>
    </w:p>
    <w:p>
      <w:pPr>
        <w:spacing w:after="60" w:before="60" w:line="276"/>
      </w:pPr>
      <w:r>
        <w:rPr>
          <w:rFonts w:ascii="Arial" w:cs="Arial" w:eastAsia="Arial" w:hAnsi="Arial"/>
          <w:color w:val="1B2631"/>
          <w:sz w:val="22"/>
          <w:szCs w:val="22"/>
        </w:rPr>
        <w:t xml:space="preserve">Sample size is a partial proxy for evidential weight. Section 2.5 is explicit that appraisal instruments treat size as one dimension among several [higgins2011cochrane]. A large poorly-conducted trial outranks a small rigorous one under this system's weighting. The system must not be presented as appraising quality, and the generated reports state this.</w:t>
      </w:r>
    </w:p>
    <w:p>
      <w:pPr>
        <w:spacing w:after="60" w:before="60" w:line="276"/>
      </w:pPr>
      <w:r>
        <w:rPr>
          <w:rFonts w:ascii="Arial" w:cs="Arial" w:eastAsia="Arial" w:hAnsi="Arial"/>
          <w:color w:val="1B2631"/>
          <w:sz w:val="22"/>
          <w:szCs w:val="22"/>
        </w:rPr>
        <w:t xml:space="preserve">The ranking target is not operationally defined. "Probable foundational paper" has no agreed definition, so the ranking cannot be scored against a ground truth. The weights (0.5 / 0.3 / 0.2) were set by judgement, and no sensitivity analysis was performed.</w:t>
      </w:r>
    </w:p>
    <w:p>
      <w:pPr>
        <w:pStyle w:val="Heading3"/>
        <w:keepNext/>
        <w:spacing w:after="120" w:before="240"/>
      </w:pPr>
      <w:r>
        <w:rPr>
          <w:rFonts w:ascii="Arial" w:cs="Arial" w:eastAsia="Arial" w:hAnsi="Arial"/>
          <w:b w:val="false"/>
          <w:bCs w:val="false"/>
          <w:color w:val="1F784E"/>
          <w:sz w:val="24"/>
          <w:szCs w:val="24"/>
        </w:rPr>
        <w:t xml:space="preserve">7.3.2 Internal validity</w:t>
      </w:r>
    </w:p>
    <w:p>
      <w:pPr>
        <w:spacing w:after="60" w:before="60" w:line="276"/>
      </w:pPr>
      <w:r>
        <w:rPr>
          <w:rFonts w:ascii="Arial" w:cs="Arial" w:eastAsia="Arial" w:hAnsi="Arial"/>
          <w:color w:val="1B2631"/>
          <w:sz w:val="22"/>
          <w:szCs w:val="22"/>
        </w:rPr>
        <w:t xml:space="preserve">Single annotator. The gold standard was labelled by one person who is also an author of the system. Knowledge of how the extractor works may have influenced label choices, particularly in ambiguous cases. No inter-annotator agreement was measured. This is the most serious methodological weakness in the evaluation.</w:t>
      </w:r>
    </w:p>
    <w:p>
      <w:pPr>
        <w:spacing w:after="60" w:before="60" w:line="276"/>
      </w:pPr>
      <w:r>
        <w:rPr>
          <w:rFonts w:ascii="Arial" w:cs="Arial" w:eastAsia="Arial" w:hAnsi="Arial"/>
          <w:color w:val="1B2631"/>
          <w:sz w:val="22"/>
          <w:szCs w:val="22"/>
        </w:rPr>
        <w:t xml:space="preserve">Confidence is uncalibrated. Section 6.4.4.</w:t>
      </w:r>
    </w:p>
    <w:p>
      <w:pPr>
        <w:spacing w:after="60" w:before="60" w:line="276"/>
      </w:pPr>
      <w:r>
        <w:rPr>
          <w:rFonts w:ascii="Arial" w:cs="Arial" w:eastAsia="Arial" w:hAnsi="Arial"/>
          <w:color w:val="1B2631"/>
          <w:sz w:val="22"/>
          <w:szCs w:val="22"/>
        </w:rPr>
        <w:t xml:space="preserve">Duplicate-merge precision is unmeasured. Merges are counted and survivors checked, but no gold standard of known duplicate pairs exists, so a merge that incorrectly collapsed two distinct papers would not be detected.</w:t>
      </w:r>
    </w:p>
    <w:p>
      <w:pPr>
        <w:pStyle w:val="Heading3"/>
        <w:keepNext/>
        <w:spacing w:after="120" w:before="240"/>
      </w:pPr>
      <w:r>
        <w:rPr>
          <w:rFonts w:ascii="Arial" w:cs="Arial" w:eastAsia="Arial" w:hAnsi="Arial"/>
          <w:b w:val="false"/>
          <w:bCs w:val="false"/>
          <w:color w:val="1F784E"/>
          <w:sz w:val="24"/>
          <w:szCs w:val="24"/>
        </w:rPr>
        <w:t xml:space="preserve">7.3.3 External validity</w:t>
      </w:r>
    </w:p>
    <w:p>
      <w:pPr>
        <w:spacing w:after="60" w:before="60" w:line="276"/>
      </w:pPr>
      <w:r>
        <w:rPr>
          <w:rFonts w:ascii="Arial" w:cs="Arial" w:eastAsia="Arial" w:hAnsi="Arial"/>
          <w:color w:val="1B2631"/>
          <w:sz w:val="22"/>
          <w:szCs w:val="22"/>
        </w:rPr>
        <w:t xml:space="preserve">Sample size. Twenty papers, eleven positive. The confidence intervals, accuracy [0.764, 0.991], value accuracy [0.623, 0.984], are wide and are reported alongside every point estimate for this reason.</w:t>
      </w:r>
    </w:p>
    <w:p>
      <w:pPr>
        <w:spacing w:after="60" w:before="60" w:line="276"/>
      </w:pPr>
      <w:r>
        <w:rPr>
          <w:rFonts w:ascii="Arial" w:cs="Arial" w:eastAsia="Arial" w:hAnsi="Arial"/>
          <w:color w:val="1B2631"/>
          <w:sz w:val="22"/>
          <w:szCs w:val="22"/>
        </w:rPr>
        <w:t xml:space="preserve">Domain concentration. Positives are biomedical, mostly COVID-era and cardiology. Performance on other literatures is unmeasured.</w:t>
      </w:r>
    </w:p>
    <w:p>
      <w:pPr>
        <w:spacing w:after="60" w:before="60" w:line="276"/>
      </w:pPr>
      <w:r>
        <w:rPr>
          <w:rFonts w:ascii="Arial" w:cs="Arial" w:eastAsia="Arial" w:hAnsi="Arial"/>
          <w:color w:val="1B2631"/>
          <w:sz w:val="22"/>
          <w:szCs w:val="22"/>
        </w:rPr>
        <w:t xml:space="preserve">Temporal instability. The evaluation queries live APIs. OpenAlex and Crossref revise records continuously, so an exact rerun may differ. A frozen corpus would be more reproducible and is proposed in Section 8.2.</w:t>
      </w:r>
    </w:p>
    <w:p>
      <w:pPr>
        <w:pStyle w:val="Heading3"/>
        <w:keepNext/>
        <w:spacing w:after="120" w:before="240"/>
      </w:pPr>
      <w:r>
        <w:rPr>
          <w:rFonts w:ascii="Arial" w:cs="Arial" w:eastAsia="Arial" w:hAnsi="Arial"/>
          <w:b w:val="false"/>
          <w:bCs w:val="false"/>
          <w:color w:val="1F784E"/>
          <w:sz w:val="24"/>
          <w:szCs w:val="24"/>
        </w:rPr>
        <w:t xml:space="preserve">7.3.4 Conclusion validity</w:t>
      </w:r>
    </w:p>
    <w:p>
      <w:pPr>
        <w:spacing w:after="60" w:before="60" w:line="276"/>
      </w:pPr>
      <w:r>
        <w:rPr>
          <w:rFonts w:ascii="Arial" w:cs="Arial" w:eastAsia="Arial" w:hAnsi="Arial"/>
          <w:color w:val="1B2631"/>
          <w:sz w:val="22"/>
          <w:szCs w:val="22"/>
        </w:rPr>
        <w:t xml:space="preserve">No comparative baseline. The central question, does evidence-weighted ranking outperform unweighted PageRank?, was not tested. No A/B comparison was run and no human relevance judgements were collected. The AlphaFold-to- Anfinsen result in Section 6.5 is a single favourable anecdote. This thesis therefore demonstrates that evidence-weighted ranking can be computed and produces plausible output, not that it is better. That is the most significant unaddressed question in the work.</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7.4 Divergence from the Project Proposal</w:t>
      </w:r>
    </w:p>
    <w:p>
      <w:pPr>
        <w:spacing w:after="60" w:before="60" w:line="276"/>
      </w:pPr>
      <w:r>
        <w:rPr>
          <w:rFonts w:ascii="Arial" w:cs="Arial" w:eastAsia="Arial" w:hAnsi="Arial"/>
          <w:color w:val="1B2631"/>
          <w:sz w:val="22"/>
          <w:szCs w:val="22"/>
        </w:rPr>
        <w:t xml:space="preserve">The proposal specified capabilities the delivered system does not have. They are listed here rather than omitted.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Specified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Delivered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Consequence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GROBID full-text PDF parsing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Configuration flags only; no implementation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Extraction is abstract-only. Sample sizes stated only in Methods are unreachable. This is the largest functional shortfall.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Neo4j study-aware graph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NetworkX in-memory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practical consequence at 200 nodes; §6.6 supports the choice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Study-aware knowledge graph</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One-to-one paper→study mapping, dedupe_confidence hardcoded to 0.8</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Papers reporting the same trial are counted as independent evidence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Streamlit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Not implemented; React SPA delivered instead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 the React dashboard supersedes it</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EVENT_COUNT, UNKNOWN_NUMERIC types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Defined in the model; no pattern emits either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Two documented categories can never appear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Journal quality term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Constant 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The β term is a uniform floor, not a signal</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Evaluation plan (§13)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Implemented during thesis preparation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Reported in Chapter 6</w:t>
            </w:r>
          </w:p>
        </w:tc>
      </w:tr>
    </w:tbl>
    <w:p>
      <w:pPr>
        <w:spacing w:before="120"/>
      </w:pPr>
      <w:r>
        <w:t xml:space="preserve"/>
      </w:r>
    </w:p>
    <w:p>
      <w:pPr>
        <w:spacing w:after="60" w:before="60" w:line="276"/>
      </w:pPr>
      <w:r>
        <w:rPr>
          <w:rFonts w:ascii="Arial" w:cs="Arial" w:eastAsia="Arial" w:hAnsi="Arial"/>
          <w:color w:val="1B2631"/>
          <w:sz w:val="22"/>
          <w:szCs w:val="22"/>
        </w:rPr>
        <w:t xml:space="preserve">The study-aware graph is the most conceptually significant omission. The proposal's intent was that several papers reporting one trial, a protocol, a primary results paper, a secondary analysis, collapse to one study node, so the trial's evidence is counted once. The delivered system treats them as three independent papers, which overstates the evidential weight of well-published trials. The identity aliasing described in Section 4.4.2 solves the easier adjacent problem, duplicate records of one paper, not multiple papers of one study.</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7.5 Known Open Issues</w:t>
      </w:r>
    </w:p>
    <w:p>
      <w:pPr>
        <w:spacing w:after="60" w:before="60" w:line="276"/>
      </w:pPr>
      <w:r>
        <w:rPr>
          <w:rFonts w:ascii="Arial" w:cs="Arial" w:eastAsia="Arial" w:hAnsi="Arial"/>
          <w:color w:val="1B2631"/>
          <w:sz w:val="22"/>
          <w:szCs w:val="22"/>
        </w:rPr>
        <w:t xml:space="preserve">Issues present in the delivered system and not resolved:</w:t>
      </w:r>
    </w:p>
    <w:p>
      <w:pPr>
        <w:pStyle w:val="ListParagraph"/>
        <w:numPr>
          <w:ilvl w:val="0"/>
          <w:numId w:val="20"/>
        </w:numPr>
        <w:spacing w:after="20" w:before="20" w:line="276"/>
      </w:pPr>
      <w:r>
        <w:rPr>
          <w:rFonts w:ascii="Arial" w:cs="Arial" w:eastAsia="Arial" w:hAnsi="Arial"/>
          <w:color w:val="1B2631"/>
          <w:sz w:val="22"/>
          <w:szCs w:val="22"/>
        </w:rPr>
        <w:t xml:space="preserve">The deployed API is unauthenticated. An optional API-key gate exists but</w:t>
      </w:r>
    </w:p>
    <w:p>
      <w:pPr>
        <w:spacing w:after="60" w:before="60" w:line="276"/>
      </w:pPr>
      <w:r>
        <w:rPr>
          <w:rFonts w:ascii="Arial" w:cs="Arial" w:eastAsia="Arial" w:hAnsi="Arial"/>
          <w:color w:val="1B2631"/>
          <w:sz w:val="22"/>
          <w:szCs w:val="22"/>
        </w:rPr>
        <w:t xml:space="preserve">is unset, because a public single-page application cannot hold a secret. Anyone can submit runs against the deployment.</w:t>
      </w:r>
    </w:p>
    <w:p>
      <w:pPr>
        <w:pStyle w:val="ListParagraph"/>
        <w:numPr>
          <w:ilvl w:val="0"/>
          <w:numId w:val="21"/>
        </w:numPr>
        <w:spacing w:after="20" w:before="20" w:line="276"/>
      </w:pPr>
      <w:r>
        <w:rPr>
          <w:rFonts w:ascii="Arial" w:cs="Arial" w:eastAsia="Arial" w:hAnsi="Arial"/>
          <w:color w:val="1B2631"/>
          <w:sz w:val="22"/>
          <w:szCs w:val="22"/>
        </w:rPr>
        <w:t xml:space="preserve">Run identifiers are not portable. Run records live in the host's SQLite</w:t>
      </w:r>
    </w:p>
    <w:p>
      <w:pPr>
        <w:spacing w:after="60" w:before="60" w:line="276"/>
      </w:pPr>
      <w:r>
        <w:rPr>
          <w:rFonts w:ascii="Arial" w:cs="Arial" w:eastAsia="Arial" w:hAnsi="Arial"/>
          <w:color w:val="1B2631"/>
          <w:sz w:val="22"/>
          <w:szCs w:val="22"/>
        </w:rPr>
        <w:t xml:space="preserve">database, so a shared result link breaks if the backend moves.</w:t>
      </w:r>
    </w:p>
    <w:p>
      <w:pPr>
        <w:pStyle w:val="ListParagraph"/>
        <w:numPr>
          <w:ilvl w:val="0"/>
          <w:numId w:val="22"/>
        </w:numPr>
        <w:spacing w:after="20" w:before="20" w:line="276"/>
      </w:pPr>
      <w:r>
        <w:rPr>
          <w:rFonts w:ascii="Arial" w:cs="Arial" w:eastAsia="Arial" w:hAnsi="Arial"/>
          <w:color w:val="1B2631"/>
          <w:sz w:val="22"/>
          <w:szCs w:val="22"/>
        </w:rPr>
        <w:t xml:space="preserve">Confidence is uncalibrated (§6.4.4).</w:t>
      </w:r>
    </w:p>
    <w:p>
      <w:pPr>
        <w:pStyle w:val="ListParagraph"/>
        <w:numPr>
          <w:ilvl w:val="0"/>
          <w:numId w:val="22"/>
        </w:numPr>
        <w:spacing w:after="20" w:before="20" w:line="276"/>
      </w:pPr>
      <w:r>
        <w:rPr>
          <w:rFonts w:ascii="Arial" w:cs="Arial" w:eastAsia="Arial" w:hAnsi="Arial"/>
          <w:color w:val="1B2631"/>
          <w:sz w:val="22"/>
          <w:szCs w:val="22"/>
        </w:rPr>
        <w:t xml:space="preserve">No rate limiting. The system depends on public APIs and follows</w:t>
      </w:r>
    </w:p>
    <w:p>
      <w:pPr>
        <w:spacing w:after="60" w:before="60" w:line="276"/>
      </w:pPr>
      <w:r>
        <w:rPr>
          <w:rFonts w:ascii="Arial" w:cs="Arial" w:eastAsia="Arial" w:hAnsi="Arial"/>
          <w:color w:val="1B2631"/>
          <w:sz w:val="22"/>
          <w:szCs w:val="22"/>
        </w:rPr>
        <w:t xml:space="preserve">OpenAlex's polite-pool convention, but does not throttle its own callers.</w:t>
      </w:r>
    </w:p>
    <w:p>
      <w:pPr>
        <w:pStyle w:val="ListParagraph"/>
        <w:numPr>
          <w:ilvl w:val="0"/>
          <w:numId w:val="23"/>
        </w:numPr>
        <w:spacing w:after="20" w:before="20" w:line="276"/>
      </w:pPr>
      <w:r>
        <w:rPr>
          <w:rFonts w:ascii="Arial" w:cs="Arial" w:eastAsia="Arial" w:hAnsi="Arial"/>
          <w:color w:val="1B2631"/>
          <w:sz w:val="22"/>
          <w:szCs w:val="22"/>
        </w:rPr>
        <w:t xml:space="preserve">Runs at max</w:t>
      </w:r>
      <w:r>
        <w:rPr>
          <w:rFonts w:ascii="Arial" w:cs="Arial" w:eastAsia="Arial" w:hAnsi="Arial"/>
          <w:color w:val="1B2631"/>
          <w:sz w:val="22"/>
          <w:szCs w:val="22"/>
        </w:rPr>
        <w:t xml:space="preserve">_</w:t>
      </w:r>
      <w:r>
        <w:rPr>
          <w:rFonts w:ascii="Arial" w:cs="Arial" w:eastAsia="Arial" w:hAnsi="Arial"/>
          <w:color w:val="1B2631"/>
          <w:sz w:val="22"/>
          <w:szCs w:val="22"/>
        </w:rPr>
        <w:t xml:space="preserve">total</w:t>
      </w:r>
      <w:r>
        <w:rPr>
          <w:rFonts w:ascii="Arial" w:cs="Arial" w:eastAsia="Arial" w:hAnsi="Arial"/>
          <w:color w:val="1B2631"/>
          <w:sz w:val="22"/>
          <w:szCs w:val="22"/>
        </w:rPr>
        <w:t xml:space="preserve">_</w:t>
      </w:r>
      <w:r>
        <w:rPr>
          <w:rFonts w:ascii="Arial" w:cs="Arial" w:eastAsia="Arial" w:hAnsi="Arial"/>
          <w:color w:val="1B2631"/>
          <w:sz w:val="22"/>
          <w:szCs w:val="22"/>
        </w:rPr>
        <w:t xml:space="preserve">papers = 200 take about 3.5 minutes, exceeding</w:t>
      </w:r>
    </w:p>
    <w:p>
      <w:pPr>
        <w:spacing w:after="60" w:before="60" w:line="276"/>
      </w:pPr>
      <w:r>
        <w:rPr>
          <w:rFonts w:ascii="Arial" w:cs="Arial" w:eastAsia="Arial" w:hAnsi="Arial"/>
          <w:color w:val="1B2631"/>
          <w:sz w:val="22"/>
          <w:szCs w:val="22"/>
        </w:rPr>
        <w:t xml:space="preserve">NFR-1's 60-second target.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7.6 Ethical and Legal Considerations</w:t>
      </w:r>
    </w:p>
    <w:p>
      <w:pPr>
        <w:spacing w:after="60" w:before="60" w:line="276"/>
      </w:pPr>
      <w:r>
        <w:rPr>
          <w:rFonts w:ascii="Arial" w:cs="Arial" w:eastAsia="Arial" w:hAnsi="Arial"/>
          <w:color w:val="1B2631"/>
          <w:sz w:val="22"/>
          <w:szCs w:val="22"/>
        </w:rPr>
        <w:t xml:space="preserve">All data is retrieved from public APIs under their published terms. The OpenAlex polite-pool convention is honoured by sending a contact address. No paywalled content is retrieved or redistributed, which is a consequence of the abstract-only scope: the legal question that made full text difficult is the same one that keeps the system within bounds.</w:t>
      </w:r>
    </w:p>
    <w:p>
      <w:pPr>
        <w:spacing w:after="60" w:before="60" w:line="276"/>
      </w:pPr>
      <w:r>
        <w:rPr>
          <w:rFonts w:ascii="Arial" w:cs="Arial" w:eastAsia="Arial" w:hAnsi="Arial"/>
          <w:color w:val="1B2631"/>
          <w:sz w:val="22"/>
          <w:szCs w:val="22"/>
        </w:rPr>
        <w:t xml:space="preserve">Two risks deserve statement. First, misplaced authority: a ranked list presented by software invites more confidence than a heuristic deserves. The mitigations in Section 4.7, status labels, explicit reporting of absence, a standing caution in generated reports, are partial, and Section 6.4.4 shows one of them is weaker than it appears. Second, entrenchment of visibility: any citation-based ranking amplifies already-visible work, and the age term here does not correct for the systematic under-citation of research from under-resourced institutions and non-English literatures.</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Chapter 8: Conclusion and Future Work</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8.1 Conclusion</w:t>
      </w:r>
    </w:p>
    <w:p>
      <w:pPr>
        <w:spacing w:after="60" w:before="60" w:line="276"/>
      </w:pPr>
      <w:r>
        <w:rPr>
          <w:rFonts w:ascii="Arial" w:cs="Arial" w:eastAsia="Arial" w:hAnsi="Arial"/>
          <w:color w:val="1B2631"/>
          <w:sz w:val="22"/>
          <w:szCs w:val="22"/>
        </w:rPr>
        <w:t xml:space="preserve">This thesis set out to determine whether study-scale evidence could be automatically extracted from scholarly abstracts and used to weight the edges of a citation graph, so that a reader tracing a line of research could distinguish a citation to a 43,548-participant trial from a citation to a case report.</w:t>
      </w:r>
    </w:p>
    <w:p>
      <w:pPr>
        <w:spacing w:after="60" w:before="60" w:line="276"/>
      </w:pPr>
      <w:r>
        <w:rPr>
          <w:rFonts w:ascii="Arial" w:cs="Arial" w:eastAsia="Arial" w:hAnsi="Arial"/>
          <w:color w:val="1B2631"/>
          <w:sz w:val="22"/>
          <w:szCs w:val="22"/>
        </w:rPr>
        <w:t xml:space="preserve">A working system was built, deployed and measured. Against the four research questions of Section 1.3:</w:t>
      </w:r>
    </w:p>
    <w:p>
      <w:pPr>
        <w:spacing w:after="60" w:before="60" w:line="276"/>
      </w:pPr>
      <w:r>
        <w:rPr>
          <w:rFonts w:ascii="Arial" w:cs="Arial" w:eastAsia="Arial" w:hAnsi="Arial"/>
          <w:color w:val="1B2631"/>
          <w:sz w:val="22"/>
          <w:szCs w:val="22"/>
        </w:rPr>
        <w:t xml:space="preserve">RQ1, Can population sizes be extracted reliably enough by pattern-based methods? Partially. Detection achieved precision 0.917 and recall 1.000 (F1 0.957, accuracy 95% CI [0.764, 0.991]) on a 20-paper gold standard, and exact values were correct in 10 of 11 positive cases. But semantic type classification reached only 6 of 10, and, more seriously, the confidence scores attached to extractions do not discriminate correct from incorrect results (mean 0.91 when right, 0.90 when wrong). Extraction is good enough to drive edge weighting; the uncertainty signalling around it is not yet trustworthy.</w:t>
      </w:r>
    </w:p>
    <w:p>
      <w:pPr>
        <w:spacing w:after="60" w:before="60" w:line="276"/>
      </w:pPr>
      <w:r>
        <w:rPr>
          <w:rFonts w:ascii="Arial" w:cs="Arial" w:eastAsia="Arial" w:hAnsi="Arial"/>
          <w:color w:val="1B2631"/>
          <w:sz w:val="22"/>
          <w:szCs w:val="22"/>
        </w:rPr>
        <w:t xml:space="preserve">RQ2. What proportion of papers carry the text needed, and does availability constrain the approach more than accuracy? Yes, decisively. In a representative 40-paper graph, 28% of papers carried no abstract in the primary provider. All were recoverable from a second provider in a single batched request. Data availability, not extraction logic, was the binding constraint on coverage, and the cheaper of the two to fix.</w:t>
      </w:r>
    </w:p>
    <w:p>
      <w:pPr>
        <w:spacing w:after="60" w:before="60" w:line="276"/>
      </w:pPr>
      <w:r>
        <w:rPr>
          <w:rFonts w:ascii="Arial" w:cs="Arial" w:eastAsia="Arial" w:hAnsi="Arial"/>
          <w:color w:val="1B2631"/>
          <w:sz w:val="22"/>
          <w:szCs w:val="22"/>
        </w:rPr>
        <w:t xml:space="preserve">RQ3, Does evidence weighting produce a defensible ranking? Unproven. The system produces plausible output, seeded with the 2021 AlphaFold paper it surfaced Anfinsen's 1973 paper founding the protein-folding problem, but no relevance judgement study was run and no comparison against unweighted PageRank was performed. This thesis shows the ranking can be computed and looks sensible, not that it is better than the unweighted baseline. This is the principal unaddressed question in the work.</w:t>
      </w:r>
    </w:p>
    <w:p>
      <w:pPr>
        <w:spacing w:after="60" w:before="60" w:line="276"/>
      </w:pPr>
      <w:r>
        <w:rPr>
          <w:rFonts w:ascii="Arial" w:cs="Arial" w:eastAsia="Arial" w:hAnsi="Arial"/>
          <w:color w:val="1B2631"/>
          <w:sz w:val="22"/>
          <w:szCs w:val="22"/>
        </w:rPr>
        <w:t xml:space="preserve">RQ4. Can traversal be made fast enough for interactive use, and what dominates? Yes. A 40-paper analysis completes in a mean of 19 s, and a 100-paper analysis in about 31 s. The cost is overwhelmingly network I/O (63%); all graph analytics together account for 2.5%. The largest single improvement came not from algorithmic work but from reusing one pooled HTTP client instead of creating one per request, which cut a representative run from 93.3 s to 27.9 s.</w:t>
      </w:r>
    </w:p>
    <w:p>
      <w:pPr>
        <w:spacing w:after="60" w:before="60" w:line="276"/>
      </w:pPr>
      <w:r>
        <w:rPr>
          <w:rFonts w:ascii="Arial" w:cs="Arial" w:eastAsia="Arial" w:hAnsi="Arial"/>
          <w:color w:val="1B2631"/>
          <w:sz w:val="22"/>
          <w:szCs w:val="22"/>
        </w:rPr>
        <w:t xml:space="preserve">Beyond the research questions, the work produced a second result the authors did not anticipate. Six substantial defects were found in a system that passed 102 automated tests, and four of them produced no error and no visible symptom, including one that discarded roughly half of every graph, one that made every forward-citation query silently return zero, and one that collapsed every edge weight to zero while a Python truthiness accident concealed it by substituting 1.0. For a system whose output is a ranked list, testing that the pipeline runs establishes very little. Correctness required measurement against known quantities, which is precisely what the project proposal's evaluation plan specified and what had been left unimplemented.</w:t>
      </w:r>
    </w:p>
    <w:p>
      <w:pPr>
        <w:spacing w:after="60" w:before="60" w:line="276"/>
      </w:pPr>
      <w:r>
        <w:rPr>
          <w:rFonts w:ascii="Arial" w:cs="Arial" w:eastAsia="Arial" w:hAnsi="Arial"/>
          <w:color w:val="1B2631"/>
          <w:sz w:val="22"/>
          <w:szCs w:val="22"/>
        </w:rPr>
        <w:t xml:space="preserve">The system's honest standing is therefore this. It is a working prototype that demonstrates the feasibility of evidence-weighted citation analysis and characterises its constraints with measured evidence. It is not a validated instrument for evidence appraisal, it does not read full text, and its uncertainty signalling is weaker than its interface implies.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8.2 Future Work</w:t>
      </w:r>
    </w:p>
    <w:p>
      <w:pPr>
        <w:spacing w:after="60" w:before="60" w:line="276"/>
      </w:pPr>
      <w:r>
        <w:rPr>
          <w:rFonts w:ascii="Arial" w:cs="Arial" w:eastAsia="Arial" w:hAnsi="Arial"/>
          <w:color w:val="1B2631"/>
          <w:sz w:val="22"/>
          <w:szCs w:val="22"/>
        </w:rPr>
        <w:t xml:space="preserve">Ordered by expected value relative to cost.</w:t>
      </w:r>
    </w:p>
    <w:p>
      <w:pPr>
        <w:pStyle w:val="Heading3"/>
        <w:keepNext/>
        <w:spacing w:after="120" w:before="240"/>
      </w:pPr>
      <w:r>
        <w:rPr>
          <w:rFonts w:ascii="Arial" w:cs="Arial" w:eastAsia="Arial" w:hAnsi="Arial"/>
          <w:b w:val="false"/>
          <w:bCs w:val="false"/>
          <w:color w:val="1F784E"/>
          <w:sz w:val="24"/>
          <w:szCs w:val="24"/>
        </w:rPr>
        <w:t xml:space="preserve">8.2.1 Calibrate the confidence scores</w:t>
      </w:r>
    </w:p>
    <w:p>
      <w:pPr>
        <w:spacing w:after="60" w:before="60" w:line="276"/>
      </w:pPr>
      <w:r>
        <w:rPr>
          <w:rFonts w:ascii="Arial" w:cs="Arial" w:eastAsia="Arial" w:hAnsi="Arial"/>
          <w:color w:val="1B2631"/>
          <w:sz w:val="22"/>
          <w:szCs w:val="22"/>
        </w:rPr>
        <w:t xml:space="preserve">The clearest and most valuable correction. Confidence currently encodes which pattern matched rather than how likely the match is to be correct (§6.4.4). Calibrating against held-out labelled data, for example by fitting a logistic model over pattern identity, sentence features and competing-candidate structure, would make the score mean what the interface claims. This requires a larger gold standard, which §8.2.3 addresses, and would make the system's distinguishing feature actually trustworthy.</w:t>
      </w:r>
    </w:p>
    <w:p>
      <w:pPr>
        <w:pStyle w:val="Heading3"/>
        <w:keepNext/>
        <w:spacing w:after="120" w:before="240"/>
      </w:pPr>
      <w:r>
        <w:rPr>
          <w:rFonts w:ascii="Arial" w:cs="Arial" w:eastAsia="Arial" w:hAnsi="Arial"/>
          <w:b w:val="false"/>
          <w:bCs w:val="false"/>
          <w:color w:val="1F784E"/>
          <w:sz w:val="24"/>
          <w:szCs w:val="24"/>
        </w:rPr>
        <w:t xml:space="preserve">8.2.2 Compare against an unweighted baseline</w:t>
      </w:r>
    </w:p>
    <w:p>
      <w:pPr>
        <w:spacing w:after="60" w:before="60" w:line="276"/>
      </w:pPr>
      <w:r>
        <w:rPr>
          <w:rFonts w:ascii="Arial" w:cs="Arial" w:eastAsia="Arial" w:hAnsi="Arial"/>
          <w:color w:val="1B2631"/>
          <w:sz w:val="22"/>
          <w:szCs w:val="22"/>
        </w:rPr>
        <w:t xml:space="preserve">The central unanswered question (§7.3.4). A comparison of evidence-weighted against unweighted PageRank, with domain readers judging the relevance of ranked outputs blind to condition, would establish whether the weighting helps. Without it, the system's core premise is plausible but untested. This is the first experiment a continuation of this work should run.</w:t>
      </w:r>
    </w:p>
    <w:p>
      <w:pPr>
        <w:pStyle w:val="Heading3"/>
        <w:keepNext/>
        <w:spacing w:after="120" w:before="240"/>
      </w:pPr>
      <w:r>
        <w:rPr>
          <w:rFonts w:ascii="Arial" w:cs="Arial" w:eastAsia="Arial" w:hAnsi="Arial"/>
          <w:b w:val="false"/>
          <w:bCs w:val="false"/>
          <w:color w:val="1F784E"/>
          <w:sz w:val="24"/>
          <w:szCs w:val="24"/>
        </w:rPr>
        <w:t xml:space="preserve">8.2.3 Extend and re-annotate the gold standard</w:t>
      </w:r>
    </w:p>
    <w:p>
      <w:pPr>
        <w:spacing w:after="60" w:before="60" w:line="276"/>
      </w:pPr>
      <w:r>
        <w:rPr>
          <w:rFonts w:ascii="Arial" w:cs="Arial" w:eastAsia="Arial" w:hAnsi="Arial"/>
          <w:color w:val="1B2631"/>
          <w:sz w:val="22"/>
          <w:szCs w:val="22"/>
        </w:rPr>
        <w:t xml:space="preserve">Twenty papers with one annotator produces wide intervals and no agreement measure. Extending to 150–200 papers with at least two independent annotators and a reported Cohen's κ would narrow the intervals, enable calibration, and remove the most serious methodological weakness identified in §7.3.2.</w:t>
      </w:r>
    </w:p>
    <w:p>
      <w:pPr>
        <w:pStyle w:val="Heading3"/>
        <w:keepNext/>
        <w:spacing w:after="120" w:before="240"/>
      </w:pPr>
      <w:r>
        <w:rPr>
          <w:rFonts w:ascii="Arial" w:cs="Arial" w:eastAsia="Arial" w:hAnsi="Arial"/>
          <w:b w:val="false"/>
          <w:bCs w:val="false"/>
          <w:color w:val="1F784E"/>
          <w:sz w:val="24"/>
          <w:szCs w:val="24"/>
        </w:rPr>
        <w:t xml:space="preserve">8.2.4 Supervised extraction</w:t>
      </w:r>
    </w:p>
    <w:p>
      <w:pPr>
        <w:spacing w:after="60" w:before="60" w:line="276"/>
      </w:pPr>
      <w:r>
        <w:rPr>
          <w:rFonts w:ascii="Arial" w:cs="Arial" w:eastAsia="Arial" w:hAnsi="Arial"/>
          <w:color w:val="1B2631"/>
          <w:sz w:val="22"/>
          <w:szCs w:val="22"/>
        </w:rPr>
        <w:t xml:space="preserve">Type classification at 60% is where pattern methods are weakest (§7.1.2). Fine-tuning a domain-adapted encoder such as BioBERT [lee2020biobert] or SciBERT [beltagy2019scibert] on PICO population annotations [nye2018ebmnlp] would target exactly the semantic discrimination surface patterns cannot make. A hybrid retaining patterns for high-precision cases and deferring ambiguous ones to the model would preserve the auditability that the current design provides.</w:t>
      </w:r>
    </w:p>
    <w:p>
      <w:pPr>
        <w:pStyle w:val="Heading3"/>
        <w:keepNext/>
        <w:spacing w:after="120" w:before="240"/>
      </w:pPr>
      <w:r>
        <w:rPr>
          <w:rFonts w:ascii="Arial" w:cs="Arial" w:eastAsia="Arial" w:hAnsi="Arial"/>
          <w:b w:val="false"/>
          <w:bCs w:val="false"/>
          <w:color w:val="1F784E"/>
          <w:sz w:val="24"/>
          <w:szCs w:val="24"/>
        </w:rPr>
        <w:t xml:space="preserve">8.2.5 Full-text extraction</w:t>
      </w:r>
    </w:p>
    <w:p>
      <w:pPr>
        <w:spacing w:after="60" w:before="60" w:line="276"/>
      </w:pPr>
      <w:r>
        <w:rPr>
          <w:rFonts w:ascii="Arial" w:cs="Arial" w:eastAsia="Arial" w:hAnsi="Arial"/>
          <w:color w:val="1B2631"/>
          <w:sz w:val="22"/>
          <w:szCs w:val="22"/>
        </w:rPr>
        <w:t xml:space="preserve">The largest functional gap against the proposal (§7.4). Sample sizes often appear only in a Methods section. Europe PMC provides open-access full text, and GROBID [lopez2009grobid] is already anticipated in the configuration. Unpaywall [martin2021oadoi] would determine which articles are legally retrievable, keeping the system within the bounds §7.6 describes.</w:t>
      </w:r>
    </w:p>
    <w:p>
      <w:pPr>
        <w:pStyle w:val="Heading3"/>
        <w:keepNext/>
        <w:spacing w:after="120" w:before="240"/>
      </w:pPr>
      <w:r>
        <w:rPr>
          <w:rFonts w:ascii="Arial" w:cs="Arial" w:eastAsia="Arial" w:hAnsi="Arial"/>
          <w:b w:val="false"/>
          <w:bCs w:val="false"/>
          <w:color w:val="1F784E"/>
          <w:sz w:val="24"/>
          <w:szCs w:val="24"/>
        </w:rPr>
        <w:t xml:space="preserve">8.2.6 Study-level deduplication</w:t>
      </w:r>
    </w:p>
    <w:p>
      <w:pPr>
        <w:spacing w:after="60" w:before="60" w:line="276"/>
      </w:pPr>
      <w:r>
        <w:rPr>
          <w:rFonts w:ascii="Arial" w:cs="Arial" w:eastAsia="Arial" w:hAnsi="Arial"/>
          <w:color w:val="1B2631"/>
          <w:sz w:val="22"/>
          <w:szCs w:val="22"/>
        </w:rPr>
        <w:t xml:space="preserve">Implementing the study-aware graph the proposal described (§7.4), so that a protocol, primary results paper and secondary analysis of one trial collapse to a single study node. Without it, well-published trials are over-weighted because their evidence is counted once per paper. Trial registry identifiers offer a practical join key.</w:t>
      </w:r>
    </w:p>
    <w:p>
      <w:pPr>
        <w:pStyle w:val="Heading3"/>
        <w:keepNext/>
        <w:spacing w:after="120" w:before="240"/>
      </w:pPr>
      <w:r>
        <w:rPr>
          <w:rFonts w:ascii="Arial" w:cs="Arial" w:eastAsia="Arial" w:hAnsi="Arial"/>
          <w:b w:val="false"/>
          <w:bCs w:val="false"/>
          <w:color w:val="1F784E"/>
          <w:sz w:val="24"/>
          <w:szCs w:val="24"/>
        </w:rPr>
        <w:t xml:space="preserve">8.2.7 A frozen evaluation corpus</w:t>
      </w:r>
    </w:p>
    <w:p>
      <w:pPr>
        <w:spacing w:after="60" w:before="60" w:line="276"/>
      </w:pPr>
      <w:r>
        <w:rPr>
          <w:rFonts w:ascii="Arial" w:cs="Arial" w:eastAsia="Arial" w:hAnsi="Arial"/>
          <w:color w:val="1B2631"/>
          <w:sz w:val="22"/>
          <w:szCs w:val="22"/>
        </w:rPr>
        <w:t xml:space="preserve">Snapshotting the gold-standard records so the evaluation does not depend on live APIs (§7.3.3), making results exactly reproducible and allowing regression detection when extraction logic changes.</w:t>
      </w:r>
    </w:p>
    <w:p>
      <w:pPr>
        <w:pStyle w:val="Heading3"/>
        <w:keepNext/>
        <w:spacing w:after="120" w:before="240"/>
      </w:pPr>
      <w:r>
        <w:rPr>
          <w:rFonts w:ascii="Arial" w:cs="Arial" w:eastAsia="Arial" w:hAnsi="Arial"/>
          <w:b w:val="false"/>
          <w:bCs w:val="false"/>
          <w:color w:val="1F784E"/>
          <w:sz w:val="24"/>
          <w:szCs w:val="24"/>
        </w:rPr>
        <w:t xml:space="preserve">8.2.8 Citation context and sentiment</w:t>
      </w:r>
    </w:p>
    <w:p>
      <w:pPr>
        <w:spacing w:after="60" w:before="60" w:line="276"/>
      </w:pPr>
      <w:r>
        <w:rPr>
          <w:rFonts w:ascii="Arial" w:cs="Arial" w:eastAsia="Arial" w:hAnsi="Arial"/>
          <w:color w:val="1B2631"/>
          <w:sz w:val="22"/>
          <w:szCs w:val="22"/>
        </w:rPr>
        <w:t xml:space="preserve">Garfield's original caveat (§2.1.1): a citation may be critical rather than supportive. Classifying citation context would let the graph distinguish support from refutation, a substantially harder problem, and the most speculative item here.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8.3 Closing Remarks</w:t>
      </w:r>
    </w:p>
    <w:p>
      <w:pPr>
        <w:spacing w:after="60" w:before="60" w:line="276"/>
      </w:pPr>
      <w:r>
        <w:rPr>
          <w:rFonts w:ascii="Arial" w:cs="Arial" w:eastAsia="Arial" w:hAnsi="Arial"/>
          <w:color w:val="1B2631"/>
          <w:sz w:val="22"/>
          <w:szCs w:val="22"/>
        </w:rPr>
        <w:t xml:space="preserve">The most durable lesson of this project was not about citation graphs.</w:t>
      </w:r>
    </w:p>
    <w:p>
      <w:pPr>
        <w:spacing w:after="60" w:before="60" w:line="276"/>
      </w:pPr>
      <w:r>
        <w:rPr>
          <w:rFonts w:ascii="Arial" w:cs="Arial" w:eastAsia="Arial" w:hAnsi="Arial"/>
          <w:color w:val="1B2631"/>
          <w:sz w:val="22"/>
          <w:szCs w:val="22"/>
        </w:rPr>
        <w:t xml:space="preserve">The system produced plausible output throughout a period in which it was discarding half of every graph, returning zero forward citations for every paper, and running an unweighted ranking while presenting it as evidence-weighted. Every automated test passed. What exposed the faults was measuring the system against quantities known independently, how many references the provider reported, what a human reading the abstract found, how long each stage took.</w:t>
      </w:r>
    </w:p>
    <w:p>
      <w:pPr>
        <w:spacing w:after="60" w:before="60" w:line="276"/>
      </w:pPr>
      <w:r>
        <w:rPr>
          <w:rFonts w:ascii="Arial" w:cs="Arial" w:eastAsia="Arial" w:hAnsi="Arial"/>
          <w:color w:val="1B2631"/>
          <w:sz w:val="22"/>
          <w:szCs w:val="22"/>
        </w:rPr>
        <w:t xml:space="preserve">The evaluation plan that would have caught most of this was written in the project proposal before implementation began, and was left as an empty directory until the thesis was drafted. The measurement was not an afterthought to the engineering; it was the part of the engineering that had been deferred, and deferring it is what allowed the defects to persist. That is the finding the authors would carry into another project.</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Appendix A: API Reference</w:t>
      </w:r>
    </w:p>
    <w:p>
      <w:pPr>
        <w:spacing w:after="60" w:before="60" w:line="276"/>
      </w:pPr>
      <w:r>
        <w:rPr>
          <w:rFonts w:ascii="Arial" w:cs="Arial" w:eastAsia="Arial" w:hAnsi="Arial"/>
          <w:color w:val="1B2631"/>
          <w:sz w:val="22"/>
          <w:szCs w:val="22"/>
        </w:rPr>
        <w:t xml:space="preserve">Base URL of the deployed instance: </w:t>
      </w:r>
      <w:hyperlink w:history="1" r:id="rIdtemjf7xwml2f1e8vidzec">
        <w:r>
          <w:rPr>
            <w:rFonts w:ascii="Arial" w:cs="Arial" w:eastAsia="Arial" w:hAnsi="Arial"/>
            <w:color w:val="1155CC"/>
            <w:sz w:val="22"/>
            <w:szCs w:val="22"/>
            <w:u w:val="single"/>
          </w:rPr>
          <w:t xml:space="preserve">https://citegraph-api.penora.us</w:t>
        </w:r>
      </w:hyperlink>
      <w:r>
        <w:rPr>
          <w:rFonts w:ascii="Arial" w:cs="Arial" w:eastAsia="Arial" w:hAnsi="Arial"/>
          <w:color w:val="1B2631"/>
          <w:sz w:val="22"/>
          <w:szCs w:val="22"/>
        </w:rPr>
        <w:t xml:space="preserve"> Interactive documentation: /docs</w:t>
      </w:r>
    </w:p>
    <w:p>
      <w:pPr>
        <w:spacing w:after="60" w:before="60" w:line="276"/>
      </w:pPr>
      <w:r>
        <w:rPr>
          <w:rFonts w:ascii="Arial" w:cs="Arial" w:eastAsia="Arial" w:hAnsi="Arial"/>
          <w:color w:val="1B2631"/>
          <w:sz w:val="22"/>
          <w:szCs w:val="22"/>
        </w:rPr>
        <w:t xml:space="preserve">When API</w:t>
      </w:r>
      <w:r>
        <w:rPr>
          <w:rFonts w:ascii="Arial" w:cs="Arial" w:eastAsia="Arial" w:hAnsi="Arial"/>
          <w:color w:val="1B2631"/>
          <w:sz w:val="22"/>
          <w:szCs w:val="22"/>
        </w:rPr>
        <w:t xml:space="preserve">_</w:t>
      </w:r>
      <w:r>
        <w:rPr>
          <w:rFonts w:ascii="Arial" w:cs="Arial" w:eastAsia="Arial" w:hAnsi="Arial"/>
          <w:color w:val="1B2631"/>
          <w:sz w:val="22"/>
          <w:szCs w:val="22"/>
        </w:rPr>
        <w:t xml:space="preserve">KEY is configured, every /api route requires an X-API-Key header; /health is always open so uptime probes work. In the current deployment API</w:t>
      </w:r>
      <w:r>
        <w:rPr>
          <w:rFonts w:ascii="Arial" w:cs="Arial" w:eastAsia="Arial" w:hAnsi="Arial"/>
          <w:color w:val="1B2631"/>
          <w:sz w:val="22"/>
          <w:szCs w:val="22"/>
        </w:rPr>
        <w:t xml:space="preserve">_</w:t>
      </w:r>
      <w:r>
        <w:rPr>
          <w:rFonts w:ascii="Arial" w:cs="Arial" w:eastAsia="Arial" w:hAnsi="Arial"/>
          <w:color w:val="1B2631"/>
          <w:sz w:val="22"/>
          <w:szCs w:val="22"/>
        </w:rPr>
        <w:t xml:space="preserve">KEY is unset (see Section 7.5).</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A.1 GET /health</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JSON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{"status": "ok"}</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A.2 POST /api/runs</w:t>
      </w:r>
    </w:p>
    <w:p>
      <w:pPr>
        <w:spacing w:after="60" w:before="60" w:line="276"/>
      </w:pPr>
      <w:r>
        <w:rPr>
          <w:rFonts w:ascii="Arial" w:cs="Arial" w:eastAsia="Arial" w:hAnsi="Arial"/>
          <w:color w:val="1B2631"/>
          <w:sz w:val="22"/>
          <w:szCs w:val="22"/>
        </w:rPr>
        <w:t xml:space="preserve">Starts an analysis. Returns immediately with an identifier; the analysis runs in the background because a full run takes tens of seconds to minutes (Section 6.6).</w:t>
      </w:r>
    </w:p>
    <w:p>
      <w:pPr>
        <w:spacing w:after="60" w:before="60" w:line="276"/>
      </w:pPr>
      <w:r>
        <w:rPr>
          <w:rFonts w:ascii="Arial" w:cs="Arial" w:eastAsia="Arial" w:hAnsi="Arial"/>
          <w:color w:val="1B2631"/>
          <w:sz w:val="22"/>
          <w:szCs w:val="22"/>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query_type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string</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required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doi, pmid, pmcid, title, url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value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The identifier</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backward_depth</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References; clamped 0–3</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forward_depth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Citing works; clamped 0–2</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max_total_papers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Clamped 1–200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pdf_path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Accepted but not dereferenced; confined to the uploads directory</w:t>
            </w:r>
          </w:p>
        </w:tc>
      </w:tr>
    </w:tbl>
    <w:p>
      <w:pPr>
        <w:spacing w:before="120"/>
      </w:pPr>
      <w:r>
        <w:t xml:space="preserve"/>
      </w:r>
    </w:p>
    <w:p>
      <w:pPr>
        <w:spacing w:after="60" w:before="60" w:line="276"/>
      </w:pPr>
      <w:r>
        <w:rPr>
          <w:rFonts w:ascii="Arial" w:cs="Arial" w:eastAsia="Arial" w:hAnsi="Arial"/>
          <w:color w:val="1B2631"/>
          <w:sz w:val="22"/>
          <w:szCs w:val="22"/>
        </w:rPr>
        <w:t xml:space="preserve">Validation. doi must match 10.xxxx/yyyy; pmid is 1–9 digits; pmcid is PMC plus digits; title needs at least 5 characters; url must have a scheme and host, and must not resolve to a private, loopback, link-local or reserved address (Section 5.7).</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curl -X POST https://citegraph-api.penora.us/api/runs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-H "Content-Type: application/json"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-d '{"query_type":"doi","value":"10.1056/NEJMoa2002032",</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"backward_depth":2,"forward_depth":1,"max_total_papers":60}'</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JSON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{"run_id": "a1b2c3d4-...", "status": "started"}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A.3 GET /api/runs/{run_id}</w:t>
      </w:r>
    </w:p>
    <w:p>
      <w:pPr>
        <w:spacing w:after="60" w:before="60" w:line="276"/>
      </w:pPr>
      <w:r>
        <w:rPr>
          <w:rFonts w:ascii="Arial" w:cs="Arial" w:eastAsia="Arial" w:hAnsi="Arial"/>
          <w:color w:val="1B2631"/>
          <w:sz w:val="22"/>
          <w:szCs w:val="22"/>
        </w:rPr>
        <w:t xml:space="preserve">While running:</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JSON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{"run_id": "...", "status": "running", "error": null, "created_at": "..."}</w:t>
      </w:r>
    </w:p>
    <w:p>
      <w:pPr>
        <w:spacing w:after="60" w:before="60" w:line="276"/>
      </w:pPr>
      <w:r>
        <w:rPr>
          <w:rFonts w:ascii="Arial" w:cs="Arial" w:eastAsia="Arial" w:hAnsi="Arial"/>
          <w:color w:val="1B2631"/>
          <w:sz w:val="22"/>
          <w:szCs w:val="22"/>
        </w:rPr>
        <w:t xml:space="preserve">When complete, returns the full result: papers, studies, population</w:t>
      </w:r>
      <w:r>
        <w:rPr>
          <w:rFonts w:ascii="Arial" w:cs="Arial" w:eastAsia="Arial" w:hAnsi="Arial"/>
          <w:color w:val="1B2631"/>
          <w:sz w:val="22"/>
          <w:szCs w:val="22"/>
        </w:rPr>
        <w:t xml:space="preserve">_</w:t>
      </w:r>
      <w:r>
        <w:rPr>
          <w:rFonts w:ascii="Arial" w:cs="Arial" w:eastAsia="Arial" w:hAnsi="Arial"/>
          <w:color w:val="1B2631"/>
          <w:sz w:val="22"/>
          <w:szCs w:val="22"/>
        </w:rPr>
        <w:t xml:space="preserve">candidates, population</w:t>
      </w:r>
      <w:r>
        <w:rPr>
          <w:rFonts w:ascii="Arial" w:cs="Arial" w:eastAsia="Arial" w:hAnsi="Arial"/>
          <w:color w:val="1B2631"/>
          <w:sz w:val="22"/>
          <w:szCs w:val="22"/>
        </w:rPr>
        <w:t xml:space="preserve">_</w:t>
      </w:r>
      <w:r>
        <w:rPr>
          <w:rFonts w:ascii="Arial" w:cs="Arial" w:eastAsia="Arial" w:hAnsi="Arial"/>
          <w:color w:val="1B2631"/>
          <w:sz w:val="22"/>
          <w:szCs w:val="22"/>
        </w:rPr>
        <w:t xml:space="preserve">resolutions, citation</w:t>
      </w:r>
      <w:r>
        <w:rPr>
          <w:rFonts w:ascii="Arial" w:cs="Arial" w:eastAsia="Arial" w:hAnsi="Arial"/>
          <w:color w:val="1B2631"/>
          <w:sz w:val="22"/>
          <w:szCs w:val="22"/>
        </w:rPr>
        <w:t xml:space="preserve">_</w:t>
      </w:r>
      <w:r>
        <w:rPr>
          <w:rFonts w:ascii="Arial" w:cs="Arial" w:eastAsia="Arial" w:hAnsi="Arial"/>
          <w:color w:val="1B2631"/>
          <w:sz w:val="22"/>
          <w:szCs w:val="22"/>
        </w:rPr>
        <w:t xml:space="preserve">edges, ranked</w:t>
      </w:r>
      <w:r>
        <w:rPr>
          <w:rFonts w:ascii="Arial" w:cs="Arial" w:eastAsia="Arial" w:hAnsi="Arial"/>
          <w:color w:val="1B2631"/>
          <w:sz w:val="22"/>
          <w:szCs w:val="22"/>
        </w:rPr>
        <w:t xml:space="preserve">_</w:t>
      </w:r>
      <w:r>
        <w:rPr>
          <w:rFonts w:ascii="Arial" w:cs="Arial" w:eastAsia="Arial" w:hAnsi="Arial"/>
          <w:color w:val="1B2631"/>
          <w:sz w:val="22"/>
          <w:szCs w:val="22"/>
        </w:rPr>
        <w:t xml:space="preserve">foundational</w:t>
      </w:r>
      <w:r>
        <w:rPr>
          <w:rFonts w:ascii="Arial" w:cs="Arial" w:eastAsia="Arial" w:hAnsi="Arial"/>
          <w:color w:val="1B2631"/>
          <w:sz w:val="22"/>
          <w:szCs w:val="22"/>
        </w:rPr>
        <w:t xml:space="preserve">_</w:t>
      </w:r>
      <w:r>
        <w:rPr>
          <w:rFonts w:ascii="Arial" w:cs="Arial" w:eastAsia="Arial" w:hAnsi="Arial"/>
          <w:color w:val="1B2631"/>
          <w:sz w:val="22"/>
          <w:szCs w:val="22"/>
        </w:rPr>
        <w:t xml:space="preserve">papers, ranked</w:t>
      </w:r>
      <w:r>
        <w:rPr>
          <w:rFonts w:ascii="Arial" w:cs="Arial" w:eastAsia="Arial" w:hAnsi="Arial"/>
          <w:color w:val="1B2631"/>
          <w:sz w:val="22"/>
          <w:szCs w:val="22"/>
        </w:rPr>
        <w:t xml:space="preserve">_</w:t>
      </w:r>
      <w:r>
        <w:rPr>
          <w:rFonts w:ascii="Arial" w:cs="Arial" w:eastAsia="Arial" w:hAnsi="Arial"/>
          <w:color w:val="1B2631"/>
          <w:sz w:val="22"/>
          <w:szCs w:val="22"/>
        </w:rPr>
        <w:t xml:space="preserve">paths, warnings.</w:t>
      </w:r>
    </w:p>
    <w:p>
      <w:pPr>
        <w:spacing w:after="60" w:before="60" w:line="276"/>
      </w:pPr>
      <w:r>
        <w:rPr>
          <w:rFonts w:ascii="Arial" w:cs="Arial" w:eastAsia="Arial" w:hAnsi="Arial"/>
          <w:color w:val="1B2631"/>
          <w:sz w:val="22"/>
          <w:szCs w:val="22"/>
        </w:rPr>
        <w:t xml:space="preserve">The warnings array is worth reading rather than ignoring. It reports how many abstracts were recovered from a secondary provider and how many duplicate records were merged, which is what allows a sparse graph to be explained rather than guessed at (Section 4.7).</w:t>
      </w:r>
    </w:p>
    <w:p>
      <w:pPr>
        <w:spacing w:after="60" w:before="60" w:line="276"/>
      </w:pPr>
      <w:r>
        <w:rPr>
          <w:rFonts w:ascii="Arial" w:cs="Arial" w:eastAsia="Arial" w:hAnsi="Arial"/>
          <w:color w:val="1B2631"/>
          <w:sz w:val="22"/>
          <w:szCs w:val="22"/>
        </w:rPr>
        <w:t xml:space="preserve">On failure, error carries a caller-facing message; unexpected internal errors return a correlation reference rather than the underlying exception text.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A.4 GET /api/runs/{run_id}/graph</w:t>
      </w:r>
    </w:p>
    <w:p>
      <w:pPr>
        <w:spacing w:after="60" w:before="60" w:line="276"/>
      </w:pPr>
      <w:r>
        <w:rPr>
          <w:rFonts w:ascii="Arial" w:cs="Arial" w:eastAsia="Arial" w:hAnsi="Arial"/>
          <w:color w:val="1B2631"/>
          <w:sz w:val="22"/>
          <w:szCs w:val="22"/>
        </w:rPr>
        <w:t xml:space="preserve">Visualisation payload.</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JSON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"nodes": [{"id": "10.1056/...", "label": "...", "year": 2020, "n_eff": 1099}],</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"links": [{"source": "10.1056/...", "target": "10.1016/...", "weight": 0.43}]</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w:t>
      </w:r>
    </w:p>
    <w:p>
      <w:pPr>
        <w:spacing w:after="60" w:before="60" w:line="276"/>
      </w:pPr>
      <w:r>
        <w:rPr>
          <w:rFonts w:ascii="Arial" w:cs="Arial" w:eastAsia="Arial" w:hAnsi="Arial"/>
          <w:color w:val="1B2631"/>
          <w:sz w:val="22"/>
          <w:szCs w:val="22"/>
        </w:rPr>
        <w:t xml:space="preserve">Every link endpoint is guaranteed present in nodes (Section 4.4.2).</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A.5 Exports</w:t>
      </w:r>
    </w:p>
    <w:p>
      <w:pPr>
        <w:spacing w:after="60" w:before="60" w:line="276"/>
      </w:pPr>
      <w:r>
        <w:rPr>
          <w:rFonts w:ascii="Arial" w:cs="Arial" w:eastAsia="Arial" w:hAnsi="Arial"/>
          <w:color w:val="1B2631"/>
          <w:sz w:val="22"/>
          <w:szCs w:val="22"/>
        </w:rPr>
        <w:t xml:space="preserve">All exports return a file with the correct Content-Type and a Content-Disposition filename, not a JSON envelope (Section 5.8). | Endpoint | Type | Contents | |----------|------|----------| | /export/json | application/json | Full result, indented | | /export/csv | text/csv | One row per paper: identifiers, authors, journal, n</w:t>
      </w:r>
      <w:r>
        <w:rPr>
          <w:rFonts w:ascii="Arial" w:cs="Arial" w:eastAsia="Arial" w:hAnsi="Arial"/>
          <w:color w:val="1B2631"/>
          <w:sz w:val="22"/>
          <w:szCs w:val="22"/>
        </w:rPr>
        <w:t xml:space="preserve">_</w:t>
      </w:r>
      <w:r>
        <w:rPr>
          <w:rFonts w:ascii="Arial" w:cs="Arial" w:eastAsia="Arial" w:hAnsi="Arial"/>
          <w:color w:val="1B2631"/>
          <w:sz w:val="22"/>
          <w:szCs w:val="22"/>
        </w:rPr>
        <w:t xml:space="preserve">eff, population status and confidence, in/out degree, foundational rank, seed flag | | /export/edges.csv | text/csv | One row per edge with every weight component | | /export/markdown | text/markdown | Report: seed details, summary, foundational ranking, population evidence, top citation paths | | /export/graphml | application/xml | GraphML for Gephi, yEd or Cytoscape Desktop |</w:t>
      </w:r>
    </w:p>
    <w:p>
      <w:pPr>
        <w:spacing w:after="60" w:before="60" w:line="276"/>
      </w:pPr>
      <w:r>
        <w:rPr>
          <w:rFonts w:ascii="Arial" w:cs="Arial" w:eastAsia="Arial" w:hAnsi="Arial"/>
          <w:color w:val="1B2631"/>
          <w:sz w:val="22"/>
          <w:szCs w:val="22"/>
        </w:rPr>
        <w:t xml:space="preserve">Both CSV exports are written with Python's csv module, so commas, quotes and newlines inside titles and journal names are escaped correctly, and carry a UTF-8 byte-order mark so spreadsheet software renders accented author names.</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Appendix B: Configuration Reference</w:t>
      </w:r>
    </w:p>
    <w:p>
      <w:pPr>
        <w:spacing w:after="60" w:before="60" w:line="276"/>
      </w:pPr>
      <w:r>
        <w:rPr>
          <w:rFonts w:ascii="Arial" w:cs="Arial" w:eastAsia="Arial" w:hAnsi="Arial"/>
          <w:color w:val="1B2631"/>
          <w:sz w:val="22"/>
          <w:szCs w:val="22"/>
        </w:rPr>
        <w:t xml:space="preserve">All settings are read by pydantic-settings from environment variables or a .env file.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B.1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Setting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app_env</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APP_ENV</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development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 non-development value without API_KEY logs a startup warning</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log_level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LOG_LEVEL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INFO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
            </w:r>
          </w:p>
        </w:tc>
      </w:tr>
    </w:tbl>
    <w:p>
      <w:pPr>
        <w:spacing w:before="12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B.2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Setting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api_key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API_KEY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unset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When set, every /api route requires X-API-Key. Unset in the deployment (§7.5)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cors_origins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CORS_ORIGINS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http://localhost:5173,http://127.0.0.1:5173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Comma-separated allowed browser origins</w:t>
            </w:r>
          </w:p>
        </w:tc>
      </w:tr>
    </w:tbl>
    <w:p>
      <w:pPr>
        <w:spacing w:before="120"/>
      </w:pPr>
      <w:r>
        <w:t xml:space="preserve"/>
      </w:r>
    </w:p>
    <w:p>
      <w:pPr>
        <w:spacing w:after="60" w:before="60" w:line="276"/>
      </w:pPr>
      <w:r>
        <w:rPr>
          <w:rFonts w:ascii="Arial" w:cs="Arial" w:eastAsia="Arial" w:hAnsi="Arial"/>
          <w:color w:val="1B2631"/>
          <w:sz w:val="22"/>
          <w:szCs w:val="22"/>
        </w:rPr>
        <w:t xml:space="preserve">A wildcard CORS policy is deliberately not used. It would let any page a developer visits drive their locally running instance and read the responses.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B.3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Setting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openalex_email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OPENALEX_EMAIL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unset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Polite-pool identification; materially affects latency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enable_openalex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ENABLE_OPENALEX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Primary provider</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enable_crossref</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ENABLE_CROSSREF</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true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Publisher-deposited metadata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enable_europe_pmc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ENABLE_EUROPE_PMC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true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Required for abstract backfill (§6.3)</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enable_pubmed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ENABLE_PUBMED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false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Reserved; no provider implemented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enable_semantic_scholar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ENABLE_SEMANTIC_SCHOLAR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Reserved; no provider implemented</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enable_clinical_trials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ENABLE_CLINICAL_TRIALS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false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Reserved; no provider implemented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enable_unpaywall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ENABLE_UNPAYWALL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false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Reserved; no provider implemented</w:t>
            </w:r>
          </w:p>
        </w:tc>
      </w:tr>
    </w:tbl>
    <w:p>
      <w:pPr>
        <w:spacing w:before="120"/>
      </w:pPr>
      <w:r>
        <w:t xml:space="preserve"/>
      </w:r>
    </w:p>
    <w:p>
      <w:pPr>
        <w:spacing w:after="60" w:before="60" w:line="276"/>
      </w:pPr>
      <w:r>
        <w:rPr>
          <w:rFonts w:ascii="Arial" w:cs="Arial" w:eastAsia="Arial" w:hAnsi="Arial"/>
          <w:color w:val="1B2631"/>
          <w:sz w:val="22"/>
          <w:szCs w:val="22"/>
        </w:rPr>
        <w:t xml:space="preserve">Disabling Europe PMC removes the abstract backfill and, on the basis of Section 6.3, would leave roughly 28% of papers without extractable text.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B.4 Traversal and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Setting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default_backward_depth</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DEFAULT_BACKWARD_DEPTH</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Clamped 0–3</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default_forward_depth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DEFAULT_FORWARD_DEPTH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Clamped 0–2</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default_max_total_papers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DEFAULT_MAX_TOTAL_PAPERS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Clamped 1–200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weight_alpha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WEIGHT_ALPHA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Weight on the population evidence term</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weight_beta</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WEIGHT_BETA</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0.25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Weight on the journal term</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n_reference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N_REFERENCE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Reference population for log normalisation</w:t>
            </w:r>
          </w:p>
        </w:tc>
      </w:tr>
    </w:tbl>
    <w:p>
      <w:pPr>
        <w:spacing w:before="120"/>
      </w:pPr>
      <w:r>
        <w:t xml:space="preserve"/>
      </w:r>
    </w:p>
    <w:p>
      <w:pPr>
        <w:spacing w:after="60" w:before="60" w:line="276"/>
      </w:pPr>
      <w:r>
        <w:rPr>
          <w:rFonts w:ascii="Arial" w:cs="Arial" w:eastAsia="Arial" w:hAnsi="Arial"/>
          <w:color w:val="1B2631"/>
          <w:sz w:val="22"/>
          <w:szCs w:val="22"/>
        </w:rPr>
        <w:t xml:space="preserve">max</w:t>
      </w:r>
      <w:r>
        <w:rPr>
          <w:rFonts w:ascii="Arial" w:cs="Arial" w:eastAsia="Arial" w:hAnsi="Arial"/>
          <w:color w:val="1B2631"/>
          <w:sz w:val="22"/>
          <w:szCs w:val="22"/>
        </w:rPr>
        <w:t xml:space="preserve">_</w:t>
      </w:r>
      <w:r>
        <w:rPr>
          <w:rFonts w:ascii="Arial" w:cs="Arial" w:eastAsia="Arial" w:hAnsi="Arial"/>
          <w:color w:val="1B2631"/>
          <w:sz w:val="22"/>
          <w:szCs w:val="22"/>
        </w:rPr>
        <w:t xml:space="preserve">total</w:t>
      </w:r>
      <w:r>
        <w:rPr>
          <w:rFonts w:ascii="Arial" w:cs="Arial" w:eastAsia="Arial" w:hAnsi="Arial"/>
          <w:color w:val="1B2631"/>
          <w:sz w:val="22"/>
          <w:szCs w:val="22"/>
        </w:rPr>
        <w:t xml:space="preserve">_</w:t>
      </w:r>
      <w:r>
        <w:rPr>
          <w:rFonts w:ascii="Arial" w:cs="Arial" w:eastAsia="Arial" w:hAnsi="Arial"/>
          <w:color w:val="1B2631"/>
          <w:sz w:val="22"/>
          <w:szCs w:val="22"/>
        </w:rPr>
        <w:t xml:space="preserve">papers is exposed in the dashboard as a 10–200 slider. Section 6.6 recommends 100 or below: 200 takes around 3.5 minutes and exceeds NFR-1.</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B.5 Storage and optional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Setting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data_dir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DATA_DIR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./data</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sqlite_path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SQLITE_PATH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./data/cache/citegraph.sqlite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Run persistence</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enable_grobid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ENABLE_GROBID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true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Flag only; no PDF parsing is implemented (§7.4)</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grobid_url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GROBID_URL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http://localhost:8070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Unused</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enable_neo4j</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ENABLE_NEO4J</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false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Flag only; no Neo4j integration is implemented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neo4j_uri / neo4j_user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Unused</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neo4j_password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NEO4J_PASSWORD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unset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default; required before enabling the profile</w:t>
            </w:r>
          </w:p>
        </w:tc>
      </w:tr>
    </w:tbl>
    <w:p>
      <w:pPr>
        <w:spacing w:before="120"/>
      </w:pPr>
      <w:r>
        <w:t xml:space="preserve"/>
      </w:r>
    </w:p>
    <w:p>
      <w:pPr>
        <w:spacing w:after="60" w:before="60" w:line="276"/>
      </w:pPr>
      <w:r>
        <w:rPr>
          <w:rFonts w:ascii="Arial" w:cs="Arial" w:eastAsia="Arial" w:hAnsi="Arial"/>
          <w:color w:val="1B2631"/>
          <w:sz w:val="22"/>
          <w:szCs w:val="22"/>
        </w:rPr>
        <w:t xml:space="preserve">The GROBID and Neo4j flags are configuration remnants of capabilities specified in the proposal but not built. They are listed here rather than removed so the divergence in Section 7.4 is traceable from the configuration itself.</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B.6 Internal constants</w:t>
      </w:r>
    </w:p>
    <w:p>
      <w:pPr>
        <w:spacing w:after="60" w:before="60" w:line="276"/>
      </w:pPr>
      <w:r>
        <w:rPr>
          <w:rFonts w:ascii="Arial" w:cs="Arial" w:eastAsia="Arial" w:hAnsi="Arial"/>
          <w:color w:val="1B2631"/>
          <w:sz w:val="22"/>
          <w:szCs w:val="22"/>
        </w:rPr>
        <w:t xml:space="preserve">Not environment-configurable; changing them requires a code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Constant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OpenAlexProvider.BATCH_SIZE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Identifiers per batched metadata request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OpenAlexProvider.MAX_FORWARD_CITATIONS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Citing works retrieved per paper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CitationTraversal.FORWARD_BUDGET_SHARE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0.35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Budget reserved for forward traversal (§4.4.4)</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CitationTraversal.MAX_CONCURRENT_EXPANSIONS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Concurrent reference/citation lookups</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CitationTraversal.TITLE_KEY_PREFIX</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Title prefix length for duplicate detection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CitationTraversal.MIN_TITLE_KEY_LENGTH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Shortest title eligible for prefix matching</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GraphAnalytics.MAX_PATHS_EXAMINED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50,000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Safety cap on path enumeration (§6.6.4)</w:t>
            </w:r>
          </w:p>
        </w:tc>
      </w:tr>
    </w:tbl>
    <w:p>
      <w:pPr>
        <w:spacing w:before="120"/>
      </w:pPr>
      <w:r>
        <w:t xml:space="preserve"/>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Appendix C: Reproducing the Results</w:t>
      </w:r>
    </w:p>
    <w:p>
      <w:pPr>
        <w:spacing w:after="60" w:before="60" w:line="276"/>
      </w:pPr>
      <w:r>
        <w:rPr>
          <w:rFonts w:ascii="Arial" w:cs="Arial" w:eastAsia="Arial" w:hAnsi="Arial"/>
          <w:color w:val="1B2631"/>
          <w:sz w:val="22"/>
          <w:szCs w:val="22"/>
        </w:rPr>
        <w:t xml:space="preserve">Every quantitative claim in Chapter 6 is produced by a script committed to the repository. This appendix gives the commands.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C.1 Environment</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git clone https://github.com/Ahad690/CiteGraph-NLP.git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cd CiteGraph-NLP</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python -m venv .venv</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Windows:      .venv\Scripts\Activate.ps1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macOS/Linux:  source .venv/bin/activate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pip install -r requirements.txt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cp .env.example .env          # then set OPENALEX_EMAIL</w:t>
      </w:r>
    </w:p>
    <w:p>
      <w:pPr>
        <w:spacing w:after="60" w:before="60" w:line="276"/>
      </w:pPr>
      <w:r>
        <w:rPr>
          <w:rFonts w:ascii="Arial" w:cs="Arial" w:eastAsia="Arial" w:hAnsi="Arial"/>
          <w:color w:val="1B2631"/>
          <w:sz w:val="22"/>
          <w:szCs w:val="22"/>
        </w:rPr>
        <w:t xml:space="preserve">Setting OPENALEX</w:t>
      </w:r>
      <w:r>
        <w:rPr>
          <w:rFonts w:ascii="Arial" w:cs="Arial" w:eastAsia="Arial" w:hAnsi="Arial"/>
          <w:color w:val="1B2631"/>
          <w:sz w:val="22"/>
          <w:szCs w:val="22"/>
        </w:rPr>
        <w:t xml:space="preserve">_</w:t>
      </w:r>
      <w:r>
        <w:rPr>
          <w:rFonts w:ascii="Arial" w:cs="Arial" w:eastAsia="Arial" w:hAnsi="Arial"/>
          <w:color w:val="1B2631"/>
          <w:sz w:val="22"/>
          <w:szCs w:val="22"/>
        </w:rPr>
        <w:t xml:space="preserve">EMAIL is not optional in practice. OpenAlex serves identified callers from a faster "polite pool"; without it, request latency, which Section 6.6 shows dominates runtime, is materially worse.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C.2 Test suite</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pytest -q</w:t>
      </w:r>
    </w:p>
    <w:p>
      <w:pPr>
        <w:spacing w:after="60" w:before="60" w:line="276"/>
      </w:pPr>
      <w:r>
        <w:rPr>
          <w:rFonts w:ascii="Arial" w:cs="Arial" w:eastAsia="Arial" w:hAnsi="Arial"/>
          <w:color w:val="1B2631"/>
          <w:sz w:val="22"/>
          <w:szCs w:val="22"/>
        </w:rPr>
        <w:t xml:space="preserve">Expected: 102 passed. The suite mocks all HTTP at transport level with respx, so it requires no network access and no API keys.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C.3 Evaluation (Chapter 6)</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python scripts/run_evaluation.py --out thesis/evidence --max-papers 40</w:t>
      </w:r>
    </w:p>
    <w:p>
      <w:pPr>
        <w:spacing w:after="60" w:before="60" w:line="276"/>
      </w:pPr>
      <w:r>
        <w:rPr>
          <w:rFonts w:ascii="Arial" w:cs="Arial" w:eastAsia="Arial" w:hAnsi="Arial"/>
          <w:color w:val="1B2631"/>
          <w:sz w:val="22"/>
          <w:szCs w:val="22"/>
        </w:rPr>
        <w:t xml:space="preserve">Writes thesis/evidence/evaluation</w:t>
      </w:r>
      <w:r>
        <w:rPr>
          <w:rFonts w:ascii="Arial" w:cs="Arial" w:eastAsia="Arial" w:hAnsi="Arial"/>
          <w:color w:val="1B2631"/>
          <w:sz w:val="22"/>
          <w:szCs w:val="22"/>
        </w:rPr>
        <w:t xml:space="preserve">_</w:t>
      </w:r>
      <w:r>
        <w:rPr>
          <w:rFonts w:ascii="Arial" w:cs="Arial" w:eastAsia="Arial" w:hAnsi="Arial"/>
          <w:color w:val="1B2631"/>
          <w:sz w:val="22"/>
          <w:szCs w:val="22"/>
        </w:rPr>
        <w:t xml:space="preserve">results.json and prints a summary. Requires network access; takes roughly three to five minutes, most of it in the three live traversals.</w:t>
      </w:r>
    </w:p>
    <w:p>
      <w:pPr>
        <w:spacing w:after="60" w:before="60" w:line="276"/>
      </w:pPr>
      <w:r>
        <w:rPr>
          <w:rFonts w:ascii="Arial" w:cs="Arial" w:eastAsia="Arial" w:hAnsi="Arial"/>
          <w:color w:val="1B2631"/>
          <w:sz w:val="22"/>
          <w:szCs w:val="22"/>
        </w:rPr>
        <w:t xml:space="preserve">To reproduce only the extraction and metadata results (Sections 6.2–6.4) and skip the traversals:</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python scripts/run_evaluation.py --skip-graph --out thesis/evidence</w:t>
      </w:r>
    </w:p>
    <w:p>
      <w:pPr>
        <w:spacing w:after="60" w:before="60" w:line="276"/>
      </w:pPr>
      <w:r>
        <w:rPr>
          <w:rFonts w:ascii="Arial" w:cs="Arial" w:eastAsia="Arial" w:hAnsi="Arial"/>
          <w:color w:val="1B2631"/>
          <w:sz w:val="22"/>
          <w:szCs w:val="22"/>
        </w:rPr>
        <w:t xml:space="preserve">The JSON artifact contains a per</w:t>
      </w:r>
      <w:r>
        <w:rPr>
          <w:rFonts w:ascii="Arial" w:cs="Arial" w:eastAsia="Arial" w:hAnsi="Arial"/>
          <w:color w:val="1B2631"/>
          <w:sz w:val="22"/>
          <w:szCs w:val="22"/>
        </w:rPr>
        <w:t xml:space="preserve">_</w:t>
      </w:r>
      <w:r>
        <w:rPr>
          <w:rFonts w:ascii="Arial" w:cs="Arial" w:eastAsia="Arial" w:hAnsi="Arial"/>
          <w:color w:val="1B2631"/>
          <w:sz w:val="22"/>
          <w:szCs w:val="22"/>
        </w:rPr>
        <w:t xml:space="preserve">paper array with the prediction, gold label, confidence and abstract source for every gold-standard paper, which is the source for the failure analysis in Sections 6.4.2 to 6.4.4.</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C.4 Reference verification (Section 6.7)</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python scripts/verify_references.py --out thesis/evidence</w:t>
      </w:r>
    </w:p>
    <w:p>
      <w:pPr>
        <w:spacing w:after="60" w:before="60" w:line="276"/>
      </w:pPr>
      <w:r>
        <w:rPr>
          <w:rFonts w:ascii="Arial" w:cs="Arial" w:eastAsia="Arial" w:hAnsi="Arial"/>
          <w:color w:val="1B2631"/>
          <w:sz w:val="22"/>
          <w:szCs w:val="22"/>
        </w:rPr>
        <w:t xml:space="preserve">Resolves every candidate DOI against Crossref, falling back to OpenAlex, and writes references</w:t>
      </w:r>
      <w:r>
        <w:rPr>
          <w:rFonts w:ascii="Arial" w:cs="Arial" w:eastAsia="Arial" w:hAnsi="Arial"/>
          <w:color w:val="1B2631"/>
          <w:sz w:val="22"/>
          <w:szCs w:val="22"/>
        </w:rPr>
        <w:t xml:space="preserve">_</w:t>
      </w:r>
      <w:r>
        <w:rPr>
          <w:rFonts w:ascii="Arial" w:cs="Arial" w:eastAsia="Arial" w:hAnsi="Arial"/>
          <w:color w:val="1B2631"/>
          <w:sz w:val="22"/>
          <w:szCs w:val="22"/>
        </w:rPr>
        <w:t xml:space="preserve">verified.json and references.bib. Any candidate that fails to resolve is printed as UNVERIFIED and excluded from the bibliography.</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C.5 Rebuilding the thesis</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python scripts/build_thesis.py</w:t>
      </w:r>
    </w:p>
    <w:p>
      <w:pPr>
        <w:spacing w:after="60" w:before="60" w:line="276"/>
      </w:pPr>
      <w:r>
        <w:rPr>
          <w:rFonts w:ascii="Arial" w:cs="Arial" w:eastAsia="Arial" w:hAnsi="Arial"/>
          <w:color w:val="1B2631"/>
          <w:sz w:val="22"/>
          <w:szCs w:val="22"/>
        </w:rPr>
        <w:t xml:space="preserve">Regenerates the reference list and the gold-standard appendix from the verified artifacts, then concatenates all chapters into thesis/CiteGraph-NLP-Thesis.md. The reference list is generated, not hand-maintained, so it cannot drift from the verification record.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C.6 Rendering to PDF</w:t>
      </w:r>
    </w:p>
    <w:p>
      <w:pPr>
        <w:spacing w:after="60" w:before="60" w:line="276"/>
      </w:pPr>
      <w:r>
        <w:rPr>
          <w:rFonts w:ascii="Arial" w:cs="Arial" w:eastAsia="Arial" w:hAnsi="Arial"/>
          <w:color w:val="1B2631"/>
          <w:sz w:val="22"/>
          <w:szCs w:val="22"/>
        </w:rPr>
        <w:t xml:space="preserve">Two engines work. WeasyPrint needs no LaTeX installation and is what the page counts in this thesis were measured with:</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pandoc thesis/CiteGraph-NLP-Thesis.md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-o thesis/CiteGraph-NLP-Thesis.pdf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--pdf-engine=weasyprint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 markdown-smart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--toc --toc-depth=3</w:t>
      </w:r>
    </w:p>
    <w:p>
      <w:pPr>
        <w:spacing w:after="60" w:before="60" w:line="276"/>
      </w:pPr>
      <w:r>
        <w:rPr>
          <w:rFonts w:ascii="Arial" w:cs="Arial" w:eastAsia="Arial" w:hAnsi="Arial"/>
          <w:color w:val="1B2631"/>
          <w:sz w:val="22"/>
          <w:szCs w:val="22"/>
        </w:rPr>
        <w:t xml:space="preserve">Do not add --number-sections. Every section in this thesis already carries its number in the heading text, and the cross-references throughout the body point at those numbers. Pandoc's automatic numbering is added on top rather than replacing them, so headings render with two numbers ("2.1 1.1 Background and Motivation"), and its count is offset by one because it treats the front matter as the first chapter.</w:t>
      </w:r>
    </w:p>
    <w:p>
      <w:pPr>
        <w:spacing w:after="60" w:before="60" w:line="276"/>
      </w:pPr>
      <w:r>
        <w:rPr>
          <w:rFonts w:ascii="Arial" w:cs="Arial" w:eastAsia="Arial" w:hAnsi="Arial"/>
          <w:color w:val="1B2631"/>
          <w:sz w:val="22"/>
          <w:szCs w:val="22"/>
        </w:rPr>
        <w:t xml:space="preserve">-f markdown-smart matters. Pandoc's smart typography rewrites -- as an en dash and --- as an em dash, so the rendered PDF ends up containing dashes the source never had. A mechanical pre-submission check run against that PDF then reports them as prose findings: five of the six em dashes flagged in one such run came from this conversion rather than from the manuscript.</w:t>
      </w:r>
    </w:p>
    <w:p>
      <w:pPr>
        <w:spacing w:after="60" w:before="60" w:line="276"/>
      </w:pPr>
      <w:r>
        <w:rPr>
          <w:rFonts w:ascii="Arial" w:cs="Arial" w:eastAsia="Arial" w:hAnsi="Arial"/>
          <w:color w:val="1B2631"/>
          <w:sz w:val="22"/>
          <w:szCs w:val="22"/>
        </w:rPr>
        <w:t xml:space="preserve">A DOCX, if the department requires one:</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pandoc thesis/CiteGraph-NLP-Thesis.md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-o thesis/CiteGraph-NLP-Thesis.docx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 markdown-smart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--toc --toc-depth=3</w:t>
      </w:r>
    </w:p>
    <w:p>
      <w:pPr>
        <w:spacing w:after="60" w:before="60" w:line="276"/>
      </w:pPr>
      <w:r>
        <w:rPr>
          <w:rFonts w:ascii="Arial" w:cs="Arial" w:eastAsia="Arial" w:hAnsi="Arial"/>
          <w:color w:val="1B2631"/>
          <w:sz w:val="22"/>
          <w:szCs w:val="22"/>
        </w:rPr>
        <w:t xml:space="preserve">With a LaTeX distribution instead:</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pandoc thesis/CiteGraph-NLP-Thesis.md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-o thesis/CiteGraph-NLP-Thesis.pdf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 markdown-smart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--toc --toc-depth=3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-V documentclass=report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-V papersize=a4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-V fontsize=11pt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-V geometry:margin=1in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-V linkcolor=blue</w:t>
      </w:r>
    </w:p>
    <w:p>
      <w:pPr>
        <w:spacing w:after="60" w:before="60" w:line="276"/>
      </w:pPr>
      <w:r>
        <w:rPr>
          <w:rFonts w:ascii="Arial" w:cs="Arial" w:eastAsia="Arial" w:hAnsi="Arial"/>
          <w:color w:val="1B2631"/>
          <w:sz w:val="22"/>
          <w:szCs w:val="22"/>
        </w:rPr>
        <w:t xml:space="preserve">\newpage markers between chapters are inserted by the assembly script and are honoured by the LaTeX writer.</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C.7 Running the system</w:t>
      </w:r>
    </w:p>
    <w:p>
      <w:pPr>
        <w:spacing w:after="60" w:before="60" w:line="276"/>
      </w:pPr>
      <w:r>
        <w:rPr>
          <w:rFonts w:ascii="Arial" w:cs="Arial" w:eastAsia="Arial" w:hAnsi="Arial"/>
          <w:color w:val="1B2631"/>
          <w:sz w:val="22"/>
          <w:szCs w:val="22"/>
        </w:rPr>
        <w:t xml:space="preserve">Locally:</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uvicorn citegraph.api.main:app --reload     # API on :8000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cd frontend &amp;&amp; npm install &amp;&amp; npm run dev   # dashboard on :5173</w:t>
      </w:r>
    </w:p>
    <w:p>
      <w:pPr>
        <w:spacing w:after="60" w:before="60" w:line="276"/>
      </w:pPr>
      <w:r>
        <w:rPr>
          <w:rFonts w:ascii="Arial" w:cs="Arial" w:eastAsia="Arial" w:hAnsi="Arial"/>
          <w:color w:val="1B2631"/>
          <w:sz w:val="22"/>
          <w:szCs w:val="22"/>
        </w:rPr>
        <w:t xml:space="preserve">Or the whole stack:</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BASH</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docker compose up --build</w:t>
      </w:r>
    </w:p>
    <w:p>
      <w:pPr>
        <w:spacing w:after="60" w:before="60" w:line="276"/>
      </w:pPr>
      <w:r>
        <w:rPr>
          <w:rFonts w:ascii="Arial" w:cs="Arial" w:eastAsia="Arial" w:hAnsi="Arial"/>
          <w:color w:val="1B2631"/>
          <w:sz w:val="22"/>
          <w:szCs w:val="22"/>
        </w:rPr>
        <w:t xml:space="preserve">The deployed instance is documented in the project README.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C.8 A caveat on exact reproduction</w:t>
      </w:r>
    </w:p>
    <w:p>
      <w:pPr>
        <w:spacing w:after="60" w:before="60" w:line="276"/>
      </w:pPr>
      <w:r>
        <w:rPr>
          <w:rFonts w:ascii="Arial" w:cs="Arial" w:eastAsia="Arial" w:hAnsi="Arial"/>
          <w:color w:val="1B2631"/>
          <w:sz w:val="22"/>
          <w:szCs w:val="22"/>
        </w:rPr>
        <w:t xml:space="preserve">The evaluation queries live scholarly APIs. OpenAlex and Crossref revise records continuously, abstracts are added, reference lists are corrected, citation counts change daily. A rerun may therefore differ from the figures in Chapter 6, particularly the traversal statistics in Section 6.5, which depend on what the providers hold at query time.</w:t>
      </w:r>
    </w:p>
    <w:p>
      <w:pPr>
        <w:spacing w:after="60" w:before="60" w:line="276"/>
      </w:pPr>
      <w:r>
        <w:rPr>
          <w:rFonts w:ascii="Arial" w:cs="Arial" w:eastAsia="Arial" w:hAnsi="Arial"/>
          <w:color w:val="1B2631"/>
          <w:sz w:val="22"/>
          <w:szCs w:val="22"/>
        </w:rPr>
        <w:t xml:space="preserve">The gold-standard labels are fixed and committed, so the extraction metrics in Section 6.4 are stable provided the abstracts remain retrievable. Section 8.2.7 proposes snapshotting the corpus to remove this dependency entirely.</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Appendix D: Gold Standard Annotations</w:t>
      </w:r>
    </w:p>
    <w:p>
      <w:pPr>
        <w:spacing w:after="60" w:before="60" w:line="276"/>
      </w:pPr>
      <w:r>
        <w:rPr>
          <w:rFonts w:ascii="Arial" w:cs="Arial" w:eastAsia="Arial" w:hAnsi="Arial"/>
          <w:color w:val="1B2631"/>
          <w:sz w:val="22"/>
          <w:szCs w:val="22"/>
        </w:rPr>
        <w:t xml:space="preserve">The complete annotated set used in Chapter 6. Each label was assigned by reading the abstract retrieved through the same providers the pipeline uses; the supporting sentence is quoted so every label is auditable.</w:t>
      </w:r>
    </w:p>
    <w:p>
      <w:pPr>
        <w:spacing w:after="60" w:before="60" w:line="276"/>
      </w:pPr>
      <w:r>
        <w:rPr>
          <w:rFonts w:ascii="Arial" w:cs="Arial" w:eastAsia="Arial" w:hAnsi="Arial"/>
          <w:color w:val="1B2631"/>
          <w:sz w:val="22"/>
          <w:szCs w:val="22"/>
        </w:rPr>
        <w:t xml:space="preserve">n</w:t>
      </w:r>
      <w:r>
        <w:rPr>
          <w:rFonts w:ascii="Arial" w:cs="Arial" w:eastAsia="Arial" w:hAnsi="Arial"/>
          <w:color w:val="1B2631"/>
          <w:sz w:val="22"/>
          <w:szCs w:val="22"/>
        </w:rPr>
        <w:t xml:space="preserve">_</w:t>
      </w:r>
      <w:r>
        <w:rPr>
          <w:rFonts w:ascii="Arial" w:cs="Arial" w:eastAsia="Arial" w:hAnsi="Arial"/>
          <w:color w:val="1B2631"/>
          <w:sz w:val="22"/>
          <w:szCs w:val="22"/>
        </w:rPr>
        <w:t xml:space="preserve">eff is the total number of human subjects the paper's primary analysis rests on, as stated in the abstract. A dash means no human study population is stated and the correct behaviour is to extract nothing.</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D.1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DOI</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Design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Gold n_eff</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Predicted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Match</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10.1056/nejmoa2034577</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rct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43548</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43548</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10.1056/nejmoa2035389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30420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30420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10.1056/nejmoa1911303</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rct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4744</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4744</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10.1056/nejmoa1812389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17160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17160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10.1016/s0140-6736(20)31604-4</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rct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1077</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1077</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10.1056/nejmoa2002032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cohort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7</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10.1016/s0140-6736(20)30183-5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case_series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10.1001/jama.2020.1585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case_series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miss</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9</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10.1056/nejmoa2001316</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epidemiological</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425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425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10.1016/s2213-2600(20)30079-5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cohort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10.1016/s1473-3099(20)30243-7</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modelling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1334</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1334</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10.1056/nejmoa2001017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virus_characterisation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13</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10.1038/s41586-020-2012-7</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virus_characterisation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10.1136/bmj.m1328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systematic_review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miss</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15</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10.1038/s41577-020-0311-8</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review</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10.1164/rccm.201908-1581st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guideline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17</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10.1056/nejmra2026131</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review</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10.1038/s41586-021-03819-2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computational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19</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10.1038/nature14539</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review</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10.1145/3065386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computational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ok</w:t>
            </w:r>
          </w:p>
        </w:tc>
      </w:tr>
    </w:tbl>
    <w:p>
      <w:pPr>
        <w:spacing w:before="12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D.2 Annotations with supporting evidence</w:t>
      </w:r>
    </w:p>
    <w:p>
      <w:pPr>
        <w:pStyle w:val="Heading3"/>
        <w:keepNext/>
        <w:spacing w:after="120" w:before="240"/>
      </w:pPr>
      <w:r>
        <w:rPr>
          <w:rFonts w:ascii="Arial" w:cs="Arial" w:eastAsia="Arial" w:hAnsi="Arial"/>
          <w:b w:val="false"/>
          <w:bCs w:val="false"/>
          <w:color w:val="1F784E"/>
          <w:sz w:val="24"/>
          <w:szCs w:val="24"/>
        </w:rPr>
        <w:t xml:space="preserve">D.2.1 10.1056/nejmoa2034577</w:t>
      </w:r>
    </w:p>
    <w:p>
      <w:pPr>
        <w:pStyle w:val="ListParagraph"/>
        <w:numPr>
          <w:ilvl w:val="0"/>
          <w:numId w:val="3"/>
        </w:numPr>
        <w:spacing w:after="20" w:before="20" w:line="276"/>
      </w:pPr>
      <w:r>
        <w:rPr>
          <w:rFonts w:ascii="Arial" w:cs="Arial" w:eastAsia="Arial" w:hAnsi="Arial"/>
          <w:color w:val="1B2631"/>
          <w:sz w:val="22"/>
          <w:szCs w:val="22"/>
        </w:rPr>
        <w:t xml:space="preserve">Design: rct</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43548</w:t>
      </w:r>
    </w:p>
    <w:p>
      <w:pPr>
        <w:pStyle w:val="ListParagraph"/>
        <w:numPr>
          <w:ilvl w:val="0"/>
          <w:numId w:val="3"/>
        </w:numPr>
        <w:spacing w:after="20" w:before="20" w:line="276"/>
      </w:pPr>
      <w:r>
        <w:rPr>
          <w:rFonts w:ascii="Arial" w:cs="Arial" w:eastAsia="Arial" w:hAnsi="Arial"/>
          <w:color w:val="1B2631"/>
          <w:sz w:val="22"/>
          <w:szCs w:val="22"/>
        </w:rPr>
        <w:t xml:space="preserve">Gold semantic type: TOTAL</w:t>
      </w:r>
      <w:r>
        <w:rPr>
          <w:rFonts w:ascii="Arial" w:cs="Arial" w:eastAsia="Arial" w:hAnsi="Arial"/>
          <w:color w:val="1B2631"/>
          <w:sz w:val="22"/>
          <w:szCs w:val="22"/>
        </w:rPr>
        <w:t xml:space="preserve">_</w:t>
      </w:r>
      <w:r>
        <w:rPr>
          <w:rFonts w:ascii="Arial" w:cs="Arial" w:eastAsia="Arial" w:hAnsi="Arial"/>
          <w:color w:val="1B2631"/>
          <w:sz w:val="22"/>
          <w:szCs w:val="22"/>
        </w:rPr>
        <w:t xml:space="preserve">RANDOMIZED</w:t>
      </w:r>
    </w:p>
    <w:p>
      <w:pPr>
        <w:pStyle w:val="ListParagraph"/>
        <w:numPr>
          <w:ilvl w:val="0"/>
          <w:numId w:val="3"/>
        </w:numPr>
        <w:spacing w:after="20" w:before="20" w:line="276"/>
      </w:pPr>
      <w:r>
        <w:rPr>
          <w:rFonts w:ascii="Arial" w:cs="Arial" w:eastAsia="Arial" w:hAnsi="Arial"/>
          <w:color w:val="1B2631"/>
          <w:sz w:val="22"/>
          <w:szCs w:val="22"/>
        </w:rPr>
        <w:t xml:space="preserve">Supporting evidence: A total of 43,548 participants underwent randomization, of whom 43,448 received injections.</w:t>
      </w:r>
    </w:p>
    <w:p>
      <w:pPr>
        <w:pStyle w:val="Heading3"/>
        <w:keepNext/>
        <w:spacing w:after="120" w:before="240"/>
      </w:pPr>
      <w:r>
        <w:rPr>
          <w:rFonts w:ascii="Arial" w:cs="Arial" w:eastAsia="Arial" w:hAnsi="Arial"/>
          <w:b w:val="false"/>
          <w:bCs w:val="false"/>
          <w:color w:val="1F784E"/>
          <w:sz w:val="24"/>
          <w:szCs w:val="24"/>
        </w:rPr>
        <w:t xml:space="preserve">D.2.2 10.1056/nejmoa2035389</w:t>
      </w:r>
    </w:p>
    <w:p>
      <w:pPr>
        <w:pStyle w:val="ListParagraph"/>
        <w:numPr>
          <w:ilvl w:val="0"/>
          <w:numId w:val="3"/>
        </w:numPr>
        <w:spacing w:after="20" w:before="20" w:line="276"/>
      </w:pPr>
      <w:r>
        <w:rPr>
          <w:rFonts w:ascii="Arial" w:cs="Arial" w:eastAsia="Arial" w:hAnsi="Arial"/>
          <w:color w:val="1B2631"/>
          <w:sz w:val="22"/>
          <w:szCs w:val="22"/>
        </w:rPr>
        <w:t xml:space="preserve">Design: rct</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30420</w:t>
      </w:r>
    </w:p>
    <w:p>
      <w:pPr>
        <w:pStyle w:val="ListParagraph"/>
        <w:numPr>
          <w:ilvl w:val="0"/>
          <w:numId w:val="3"/>
        </w:numPr>
        <w:spacing w:after="20" w:before="20" w:line="276"/>
      </w:pPr>
      <w:r>
        <w:rPr>
          <w:rFonts w:ascii="Arial" w:cs="Arial" w:eastAsia="Arial" w:hAnsi="Arial"/>
          <w:color w:val="1B2631"/>
          <w:sz w:val="22"/>
          <w:szCs w:val="22"/>
        </w:rPr>
        <w:t xml:space="preserve">Gold semantic type: TOTAL</w:t>
      </w:r>
      <w:r>
        <w:rPr>
          <w:rFonts w:ascii="Arial" w:cs="Arial" w:eastAsia="Arial" w:hAnsi="Arial"/>
          <w:color w:val="1B2631"/>
          <w:sz w:val="22"/>
          <w:szCs w:val="22"/>
        </w:rPr>
        <w:t xml:space="preserve">_</w:t>
      </w:r>
      <w:r>
        <w:rPr>
          <w:rFonts w:ascii="Arial" w:cs="Arial" w:eastAsia="Arial" w:hAnsi="Arial"/>
          <w:color w:val="1B2631"/>
          <w:sz w:val="22"/>
          <w:szCs w:val="22"/>
        </w:rPr>
        <w:t xml:space="preserve">ENROLLED</w:t>
      </w:r>
    </w:p>
    <w:p>
      <w:pPr>
        <w:pStyle w:val="ListParagraph"/>
        <w:numPr>
          <w:ilvl w:val="0"/>
          <w:numId w:val="3"/>
        </w:numPr>
        <w:spacing w:after="20" w:before="20" w:line="276"/>
      </w:pPr>
      <w:r>
        <w:rPr>
          <w:rFonts w:ascii="Arial" w:cs="Arial" w:eastAsia="Arial" w:hAnsi="Arial"/>
          <w:color w:val="1B2631"/>
          <w:sz w:val="22"/>
          <w:szCs w:val="22"/>
        </w:rPr>
        <w:t xml:space="preserve">Supporting evidence: The trial enrolled 30,420 volunteers who were randomly assigned in a 1:1 ratio.</w:t>
      </w:r>
    </w:p>
    <w:p>
      <w:pPr>
        <w:pStyle w:val="Heading3"/>
        <w:keepNext/>
        <w:spacing w:after="120" w:before="240"/>
      </w:pPr>
      <w:r>
        <w:rPr>
          <w:rFonts w:ascii="Arial" w:cs="Arial" w:eastAsia="Arial" w:hAnsi="Arial"/>
          <w:b w:val="false"/>
          <w:bCs w:val="false"/>
          <w:color w:val="1F784E"/>
          <w:sz w:val="24"/>
          <w:szCs w:val="24"/>
        </w:rPr>
        <w:t xml:space="preserve">D.2.3 10.1056/nejmoa1911303</w:t>
      </w:r>
    </w:p>
    <w:p>
      <w:pPr>
        <w:pStyle w:val="ListParagraph"/>
        <w:numPr>
          <w:ilvl w:val="0"/>
          <w:numId w:val="3"/>
        </w:numPr>
        <w:spacing w:after="20" w:before="20" w:line="276"/>
      </w:pPr>
      <w:r>
        <w:rPr>
          <w:rFonts w:ascii="Arial" w:cs="Arial" w:eastAsia="Arial" w:hAnsi="Arial"/>
          <w:color w:val="1B2631"/>
          <w:sz w:val="22"/>
          <w:szCs w:val="22"/>
        </w:rPr>
        <w:t xml:space="preserve">Design: rct</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4744</w:t>
      </w:r>
    </w:p>
    <w:p>
      <w:pPr>
        <w:pStyle w:val="ListParagraph"/>
        <w:numPr>
          <w:ilvl w:val="0"/>
          <w:numId w:val="3"/>
        </w:numPr>
        <w:spacing w:after="20" w:before="20" w:line="276"/>
      </w:pPr>
      <w:r>
        <w:rPr>
          <w:rFonts w:ascii="Arial" w:cs="Arial" w:eastAsia="Arial" w:hAnsi="Arial"/>
          <w:color w:val="1B2631"/>
          <w:sz w:val="22"/>
          <w:szCs w:val="22"/>
        </w:rPr>
        <w:t xml:space="preserve">Gold semantic type: TOTAL</w:t>
      </w:r>
      <w:r>
        <w:rPr>
          <w:rFonts w:ascii="Arial" w:cs="Arial" w:eastAsia="Arial" w:hAnsi="Arial"/>
          <w:color w:val="1B2631"/>
          <w:sz w:val="22"/>
          <w:szCs w:val="22"/>
        </w:rPr>
        <w:t xml:space="preserve">_</w:t>
      </w:r>
      <w:r>
        <w:rPr>
          <w:rFonts w:ascii="Arial" w:cs="Arial" w:eastAsia="Arial" w:hAnsi="Arial"/>
          <w:color w:val="1B2631"/>
          <w:sz w:val="22"/>
          <w:szCs w:val="22"/>
        </w:rPr>
        <w:t xml:space="preserve">RANDOMIZED</w:t>
      </w:r>
    </w:p>
    <w:p>
      <w:pPr>
        <w:pStyle w:val="ListParagraph"/>
        <w:numPr>
          <w:ilvl w:val="0"/>
          <w:numId w:val="3"/>
        </w:numPr>
        <w:spacing w:after="20" w:before="20" w:line="276"/>
      </w:pPr>
      <w:r>
        <w:rPr>
          <w:rFonts w:ascii="Arial" w:cs="Arial" w:eastAsia="Arial" w:hAnsi="Arial"/>
          <w:color w:val="1B2631"/>
          <w:sz w:val="22"/>
          <w:szCs w:val="22"/>
        </w:rPr>
        <w:t xml:space="preserve">Supporting evidence: we randomly assigned 4744 patients with New York Heart Association class II, III, or IV heart failure</w:t>
      </w:r>
    </w:p>
    <w:p>
      <w:pPr>
        <w:pStyle w:val="Heading3"/>
        <w:keepNext/>
        <w:spacing w:after="120" w:before="240"/>
      </w:pPr>
      <w:r>
        <w:rPr>
          <w:rFonts w:ascii="Arial" w:cs="Arial" w:eastAsia="Arial" w:hAnsi="Arial"/>
          <w:b w:val="false"/>
          <w:bCs w:val="false"/>
          <w:color w:val="1F784E"/>
          <w:sz w:val="24"/>
          <w:szCs w:val="24"/>
        </w:rPr>
        <w:t xml:space="preserve">D.2.4 10.1056/nejmoa1812389</w:t>
      </w:r>
    </w:p>
    <w:p>
      <w:pPr>
        <w:pStyle w:val="ListParagraph"/>
        <w:numPr>
          <w:ilvl w:val="0"/>
          <w:numId w:val="3"/>
        </w:numPr>
        <w:spacing w:after="20" w:before="20" w:line="276"/>
      </w:pPr>
      <w:r>
        <w:rPr>
          <w:rFonts w:ascii="Arial" w:cs="Arial" w:eastAsia="Arial" w:hAnsi="Arial"/>
          <w:color w:val="1B2631"/>
          <w:sz w:val="22"/>
          <w:szCs w:val="22"/>
        </w:rPr>
        <w:t xml:space="preserve">Design: rct</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17160</w:t>
      </w:r>
    </w:p>
    <w:p>
      <w:pPr>
        <w:pStyle w:val="ListParagraph"/>
        <w:numPr>
          <w:ilvl w:val="0"/>
          <w:numId w:val="3"/>
        </w:numPr>
        <w:spacing w:after="20" w:before="20" w:line="276"/>
      </w:pPr>
      <w:r>
        <w:rPr>
          <w:rFonts w:ascii="Arial" w:cs="Arial" w:eastAsia="Arial" w:hAnsi="Arial"/>
          <w:color w:val="1B2631"/>
          <w:sz w:val="22"/>
          <w:szCs w:val="22"/>
        </w:rPr>
        <w:t xml:space="preserve">Gold semantic type: TOTAL</w:t>
      </w:r>
      <w:r>
        <w:rPr>
          <w:rFonts w:ascii="Arial" w:cs="Arial" w:eastAsia="Arial" w:hAnsi="Arial"/>
          <w:color w:val="1B2631"/>
          <w:sz w:val="22"/>
          <w:szCs w:val="22"/>
        </w:rPr>
        <w:t xml:space="preserve">_</w:t>
      </w:r>
      <w:r>
        <w:rPr>
          <w:rFonts w:ascii="Arial" w:cs="Arial" w:eastAsia="Arial" w:hAnsi="Arial"/>
          <w:color w:val="1B2631"/>
          <w:sz w:val="22"/>
          <w:szCs w:val="22"/>
        </w:rPr>
        <w:t xml:space="preserve">ANALYZED</w:t>
      </w:r>
    </w:p>
    <w:p>
      <w:pPr>
        <w:pStyle w:val="ListParagraph"/>
        <w:numPr>
          <w:ilvl w:val="0"/>
          <w:numId w:val="3"/>
        </w:numPr>
        <w:spacing w:after="20" w:before="20" w:line="276"/>
      </w:pPr>
      <w:r>
        <w:rPr>
          <w:rFonts w:ascii="Arial" w:cs="Arial" w:eastAsia="Arial" w:hAnsi="Arial"/>
          <w:color w:val="1B2631"/>
          <w:sz w:val="22"/>
          <w:szCs w:val="22"/>
        </w:rPr>
        <w:t xml:space="preserve">Supporting evidence: We evaluated 17,160 patients, including 10,186 without atherosclerotic cardiovascular disease.</w:t>
      </w:r>
    </w:p>
    <w:p>
      <w:pPr>
        <w:pStyle w:val="Heading3"/>
        <w:keepNext/>
        <w:spacing w:after="120" w:before="240"/>
      </w:pPr>
      <w:r>
        <w:rPr>
          <w:rFonts w:ascii="Arial" w:cs="Arial" w:eastAsia="Arial" w:hAnsi="Arial"/>
          <w:b w:val="false"/>
          <w:bCs w:val="false"/>
          <w:color w:val="1F784E"/>
          <w:sz w:val="24"/>
          <w:szCs w:val="24"/>
        </w:rPr>
        <w:t xml:space="preserve">D.2.5 10.1016/s0140-6736(20)31604-4</w:t>
      </w:r>
    </w:p>
    <w:p>
      <w:pPr>
        <w:pStyle w:val="ListParagraph"/>
        <w:numPr>
          <w:ilvl w:val="0"/>
          <w:numId w:val="3"/>
        </w:numPr>
        <w:spacing w:after="20" w:before="20" w:line="276"/>
      </w:pPr>
      <w:r>
        <w:rPr>
          <w:rFonts w:ascii="Arial" w:cs="Arial" w:eastAsia="Arial" w:hAnsi="Arial"/>
          <w:color w:val="1B2631"/>
          <w:sz w:val="22"/>
          <w:szCs w:val="22"/>
        </w:rPr>
        <w:t xml:space="preserve">Design: rct</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1077</w:t>
      </w:r>
    </w:p>
    <w:p>
      <w:pPr>
        <w:pStyle w:val="ListParagraph"/>
        <w:numPr>
          <w:ilvl w:val="0"/>
          <w:numId w:val="3"/>
        </w:numPr>
        <w:spacing w:after="20" w:before="20" w:line="276"/>
      </w:pPr>
      <w:r>
        <w:rPr>
          <w:rFonts w:ascii="Arial" w:cs="Arial" w:eastAsia="Arial" w:hAnsi="Arial"/>
          <w:color w:val="1B2631"/>
          <w:sz w:val="22"/>
          <w:szCs w:val="22"/>
        </w:rPr>
        <w:t xml:space="preserve">Gold semantic type: TOTAL</w:t>
      </w:r>
      <w:r>
        <w:rPr>
          <w:rFonts w:ascii="Arial" w:cs="Arial" w:eastAsia="Arial" w:hAnsi="Arial"/>
          <w:color w:val="1B2631"/>
          <w:sz w:val="22"/>
          <w:szCs w:val="22"/>
        </w:rPr>
        <w:t xml:space="preserve">_</w:t>
      </w:r>
      <w:r>
        <w:rPr>
          <w:rFonts w:ascii="Arial" w:cs="Arial" w:eastAsia="Arial" w:hAnsi="Arial"/>
          <w:color w:val="1B2631"/>
          <w:sz w:val="22"/>
          <w:szCs w:val="22"/>
        </w:rPr>
        <w:t xml:space="preserve">ENROLLED</w:t>
      </w:r>
    </w:p>
    <w:p>
      <w:pPr>
        <w:pStyle w:val="ListParagraph"/>
        <w:numPr>
          <w:ilvl w:val="0"/>
          <w:numId w:val="3"/>
        </w:numPr>
        <w:spacing w:after="20" w:before="20" w:line="276"/>
      </w:pPr>
      <w:r>
        <w:rPr>
          <w:rFonts w:ascii="Arial" w:cs="Arial" w:eastAsia="Arial" w:hAnsi="Arial"/>
          <w:color w:val="1B2631"/>
          <w:sz w:val="22"/>
          <w:szCs w:val="22"/>
        </w:rPr>
        <w:t xml:space="preserve">Supporting evidence: 1077 participants were enrolled and assigned to receive either ChAdOx1 nCoV-19 (n=543) or MenACWY (n=534)</w:t>
      </w:r>
    </w:p>
    <w:p>
      <w:pPr>
        <w:pStyle w:val="Heading3"/>
        <w:keepNext/>
        <w:spacing w:after="120" w:before="240"/>
      </w:pPr>
      <w:r>
        <w:rPr>
          <w:rFonts w:ascii="Arial" w:cs="Arial" w:eastAsia="Arial" w:hAnsi="Arial"/>
          <w:b w:val="false"/>
          <w:bCs w:val="false"/>
          <w:color w:val="1F784E"/>
          <w:sz w:val="24"/>
          <w:szCs w:val="24"/>
        </w:rPr>
        <w:t xml:space="preserve">D.2.6 10.1056/nejmoa2002032</w:t>
      </w:r>
    </w:p>
    <w:p>
      <w:pPr>
        <w:pStyle w:val="ListParagraph"/>
        <w:numPr>
          <w:ilvl w:val="0"/>
          <w:numId w:val="3"/>
        </w:numPr>
        <w:spacing w:after="20" w:before="20" w:line="276"/>
      </w:pPr>
      <w:r>
        <w:rPr>
          <w:rFonts w:ascii="Arial" w:cs="Arial" w:eastAsia="Arial" w:hAnsi="Arial"/>
          <w:color w:val="1B2631"/>
          <w:sz w:val="22"/>
          <w:szCs w:val="22"/>
        </w:rPr>
        <w:t xml:space="preserve">Design: cohort</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1099</w:t>
      </w:r>
    </w:p>
    <w:p>
      <w:pPr>
        <w:pStyle w:val="ListParagraph"/>
        <w:numPr>
          <w:ilvl w:val="0"/>
          <w:numId w:val="3"/>
        </w:numPr>
        <w:spacing w:after="20" w:before="20" w:line="276"/>
      </w:pPr>
      <w:r>
        <w:rPr>
          <w:rFonts w:ascii="Arial" w:cs="Arial" w:eastAsia="Arial" w:hAnsi="Arial"/>
          <w:color w:val="1B2631"/>
          <w:sz w:val="22"/>
          <w:szCs w:val="22"/>
        </w:rPr>
        <w:t xml:space="preserve">Gold semantic type: TOTAL</w:t>
      </w:r>
      <w:r>
        <w:rPr>
          <w:rFonts w:ascii="Arial" w:cs="Arial" w:eastAsia="Arial" w:hAnsi="Arial"/>
          <w:color w:val="1B2631"/>
          <w:sz w:val="22"/>
          <w:szCs w:val="22"/>
        </w:rPr>
        <w:t xml:space="preserve">_</w:t>
      </w:r>
      <w:r>
        <w:rPr>
          <w:rFonts w:ascii="Arial" w:cs="Arial" w:eastAsia="Arial" w:hAnsi="Arial"/>
          <w:color w:val="1B2631"/>
          <w:sz w:val="22"/>
          <w:szCs w:val="22"/>
        </w:rPr>
        <w:t xml:space="preserve">ANALYZED</w:t>
      </w:r>
    </w:p>
    <w:p>
      <w:pPr>
        <w:pStyle w:val="ListParagraph"/>
        <w:numPr>
          <w:ilvl w:val="0"/>
          <w:numId w:val="3"/>
        </w:numPr>
        <w:spacing w:after="20" w:before="20" w:line="276"/>
      </w:pPr>
      <w:r>
        <w:rPr>
          <w:rFonts w:ascii="Arial" w:cs="Arial" w:eastAsia="Arial" w:hAnsi="Arial"/>
          <w:color w:val="1B2631"/>
          <w:sz w:val="22"/>
          <w:szCs w:val="22"/>
        </w:rPr>
        <w:t xml:space="preserve">Supporting evidence: We extracted data regarding 1099 patients with laboratory-confirmed Covid-19 from 552 hospitals.</w:t>
      </w:r>
    </w:p>
    <w:p>
      <w:pPr>
        <w:pStyle w:val="Heading3"/>
        <w:keepNext/>
        <w:spacing w:after="120" w:before="240"/>
      </w:pPr>
      <w:r>
        <w:rPr>
          <w:rFonts w:ascii="Arial" w:cs="Arial" w:eastAsia="Arial" w:hAnsi="Arial"/>
          <w:b w:val="false"/>
          <w:bCs w:val="false"/>
          <w:color w:val="1F784E"/>
          <w:sz w:val="24"/>
          <w:szCs w:val="24"/>
        </w:rPr>
        <w:t xml:space="preserve">D.2.7 10.1016/s0140-6736(20)30183-5</w:t>
      </w:r>
    </w:p>
    <w:p>
      <w:pPr>
        <w:pStyle w:val="ListParagraph"/>
        <w:numPr>
          <w:ilvl w:val="0"/>
          <w:numId w:val="3"/>
        </w:numPr>
        <w:spacing w:after="20" w:before="20" w:line="276"/>
      </w:pPr>
      <w:r>
        <w:rPr>
          <w:rFonts w:ascii="Arial" w:cs="Arial" w:eastAsia="Arial" w:hAnsi="Arial"/>
          <w:color w:val="1B2631"/>
          <w:sz w:val="22"/>
          <w:szCs w:val="22"/>
        </w:rPr>
        <w:t xml:space="preserve">Design: case</w:t>
      </w:r>
      <w:r>
        <w:rPr>
          <w:rFonts w:ascii="Arial" w:cs="Arial" w:eastAsia="Arial" w:hAnsi="Arial"/>
          <w:color w:val="1B2631"/>
          <w:sz w:val="22"/>
          <w:szCs w:val="22"/>
        </w:rPr>
        <w:t xml:space="preserve">_</w:t>
      </w:r>
      <w:r>
        <w:rPr>
          <w:rFonts w:ascii="Arial" w:cs="Arial" w:eastAsia="Arial" w:hAnsi="Arial"/>
          <w:color w:val="1B2631"/>
          <w:sz w:val="22"/>
          <w:szCs w:val="22"/>
        </w:rPr>
        <w:t xml:space="preserve">series</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41</w:t>
      </w:r>
    </w:p>
    <w:p>
      <w:pPr>
        <w:pStyle w:val="ListParagraph"/>
        <w:numPr>
          <w:ilvl w:val="0"/>
          <w:numId w:val="3"/>
        </w:numPr>
        <w:spacing w:after="20" w:before="20" w:line="276"/>
      </w:pPr>
      <w:r>
        <w:rPr>
          <w:rFonts w:ascii="Arial" w:cs="Arial" w:eastAsia="Arial" w:hAnsi="Arial"/>
          <w:color w:val="1B2631"/>
          <w:sz w:val="22"/>
          <w:szCs w:val="22"/>
        </w:rPr>
        <w:t xml:space="preserve">Gold semantic type: TOTAL</w:t>
      </w:r>
      <w:r>
        <w:rPr>
          <w:rFonts w:ascii="Arial" w:cs="Arial" w:eastAsia="Arial" w:hAnsi="Arial"/>
          <w:color w:val="1B2631"/>
          <w:sz w:val="22"/>
          <w:szCs w:val="22"/>
        </w:rPr>
        <w:t xml:space="preserve">_</w:t>
      </w:r>
      <w:r>
        <w:rPr>
          <w:rFonts w:ascii="Arial" w:cs="Arial" w:eastAsia="Arial" w:hAnsi="Arial"/>
          <w:color w:val="1B2631"/>
          <w:sz w:val="22"/>
          <w:szCs w:val="22"/>
        </w:rPr>
        <w:t xml:space="preserve">ANALYZED</w:t>
      </w:r>
    </w:p>
    <w:p>
      <w:pPr>
        <w:pStyle w:val="ListParagraph"/>
        <w:numPr>
          <w:ilvl w:val="0"/>
          <w:numId w:val="3"/>
        </w:numPr>
        <w:spacing w:after="20" w:before="20" w:line="276"/>
      </w:pPr>
      <w:r>
        <w:rPr>
          <w:rFonts w:ascii="Arial" w:cs="Arial" w:eastAsia="Arial" w:hAnsi="Arial"/>
          <w:color w:val="1B2631"/>
          <w:sz w:val="22"/>
          <w:szCs w:val="22"/>
        </w:rPr>
        <w:t xml:space="preserve">Supporting evidence: By Jan 2, 2020, 41 admitted hospital patients had been identified as having laboratory-confirmed 2019-nCoV infection.</w:t>
      </w:r>
    </w:p>
    <w:p>
      <w:pPr>
        <w:pStyle w:val="Heading3"/>
        <w:keepNext/>
        <w:spacing w:after="120" w:before="240"/>
      </w:pPr>
      <w:r>
        <w:rPr>
          <w:rFonts w:ascii="Arial" w:cs="Arial" w:eastAsia="Arial" w:hAnsi="Arial"/>
          <w:b w:val="false"/>
          <w:bCs w:val="false"/>
          <w:color w:val="1F784E"/>
          <w:sz w:val="24"/>
          <w:szCs w:val="24"/>
        </w:rPr>
        <w:t xml:space="preserve">D.2.8 10.1001/jama.2020.1585</w:t>
      </w:r>
    </w:p>
    <w:p>
      <w:pPr>
        <w:pStyle w:val="ListParagraph"/>
        <w:numPr>
          <w:ilvl w:val="0"/>
          <w:numId w:val="3"/>
        </w:numPr>
        <w:spacing w:after="20" w:before="20" w:line="276"/>
      </w:pPr>
      <w:r>
        <w:rPr>
          <w:rFonts w:ascii="Arial" w:cs="Arial" w:eastAsia="Arial" w:hAnsi="Arial"/>
          <w:color w:val="1B2631"/>
          <w:sz w:val="22"/>
          <w:szCs w:val="22"/>
        </w:rPr>
        <w:t xml:space="preserve">Design: case</w:t>
      </w:r>
      <w:r>
        <w:rPr>
          <w:rFonts w:ascii="Arial" w:cs="Arial" w:eastAsia="Arial" w:hAnsi="Arial"/>
          <w:color w:val="1B2631"/>
          <w:sz w:val="22"/>
          <w:szCs w:val="22"/>
        </w:rPr>
        <w:t xml:space="preserve">_</w:t>
      </w:r>
      <w:r>
        <w:rPr>
          <w:rFonts w:ascii="Arial" w:cs="Arial" w:eastAsia="Arial" w:hAnsi="Arial"/>
          <w:color w:val="1B2631"/>
          <w:sz w:val="22"/>
          <w:szCs w:val="22"/>
        </w:rPr>
        <w:t xml:space="preserve">series</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138</w:t>
      </w:r>
    </w:p>
    <w:p>
      <w:pPr>
        <w:pStyle w:val="ListParagraph"/>
        <w:numPr>
          <w:ilvl w:val="0"/>
          <w:numId w:val="3"/>
        </w:numPr>
        <w:spacing w:after="20" w:before="20" w:line="276"/>
      </w:pPr>
      <w:r>
        <w:rPr>
          <w:rFonts w:ascii="Arial" w:cs="Arial" w:eastAsia="Arial" w:hAnsi="Arial"/>
          <w:color w:val="1B2631"/>
          <w:sz w:val="22"/>
          <w:szCs w:val="22"/>
        </w:rPr>
        <w:t xml:space="preserve">Gold semantic type: TOTAL</w:t>
      </w:r>
      <w:r>
        <w:rPr>
          <w:rFonts w:ascii="Arial" w:cs="Arial" w:eastAsia="Arial" w:hAnsi="Arial"/>
          <w:color w:val="1B2631"/>
          <w:sz w:val="22"/>
          <w:szCs w:val="22"/>
        </w:rPr>
        <w:t xml:space="preserve">_</w:t>
      </w:r>
      <w:r>
        <w:rPr>
          <w:rFonts w:ascii="Arial" w:cs="Arial" w:eastAsia="Arial" w:hAnsi="Arial"/>
          <w:color w:val="1B2631"/>
          <w:sz w:val="22"/>
          <w:szCs w:val="22"/>
        </w:rPr>
        <w:t xml:space="preserve">ANALYZED</w:t>
      </w:r>
    </w:p>
    <w:p>
      <w:pPr>
        <w:pStyle w:val="ListParagraph"/>
        <w:numPr>
          <w:ilvl w:val="0"/>
          <w:numId w:val="3"/>
        </w:numPr>
        <w:spacing w:after="20" w:before="20" w:line="276"/>
      </w:pPr>
      <w:r>
        <w:rPr>
          <w:rFonts w:ascii="Arial" w:cs="Arial" w:eastAsia="Arial" w:hAnsi="Arial"/>
          <w:color w:val="1B2631"/>
          <w:sz w:val="22"/>
          <w:szCs w:val="22"/>
        </w:rPr>
        <w:t xml:space="preserve">Supporting evidence: Retrospective, single-center case series of the 138 consecutive hospitalized patients with confirmed NCIP.</w:t>
      </w:r>
    </w:p>
    <w:p>
      <w:pPr>
        <w:pStyle w:val="Heading3"/>
        <w:keepNext/>
        <w:spacing w:after="120" w:before="240"/>
      </w:pPr>
      <w:r>
        <w:rPr>
          <w:rFonts w:ascii="Arial" w:cs="Arial" w:eastAsia="Arial" w:hAnsi="Arial"/>
          <w:b w:val="false"/>
          <w:bCs w:val="false"/>
          <w:color w:val="1F784E"/>
          <w:sz w:val="24"/>
          <w:szCs w:val="24"/>
        </w:rPr>
        <w:t xml:space="preserve">D.2.9 10.1056/nejmoa2001316</w:t>
      </w:r>
    </w:p>
    <w:p>
      <w:pPr>
        <w:pStyle w:val="ListParagraph"/>
        <w:numPr>
          <w:ilvl w:val="0"/>
          <w:numId w:val="3"/>
        </w:numPr>
        <w:spacing w:after="20" w:before="20" w:line="276"/>
      </w:pPr>
      <w:r>
        <w:rPr>
          <w:rFonts w:ascii="Arial" w:cs="Arial" w:eastAsia="Arial" w:hAnsi="Arial"/>
          <w:color w:val="1B2631"/>
          <w:sz w:val="22"/>
          <w:szCs w:val="22"/>
        </w:rPr>
        <w:t xml:space="preserve">Design: epidemiological</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425</w:t>
      </w:r>
    </w:p>
    <w:p>
      <w:pPr>
        <w:pStyle w:val="ListParagraph"/>
        <w:numPr>
          <w:ilvl w:val="0"/>
          <w:numId w:val="3"/>
        </w:numPr>
        <w:spacing w:after="20" w:before="20" w:line="276"/>
      </w:pPr>
      <w:r>
        <w:rPr>
          <w:rFonts w:ascii="Arial" w:cs="Arial" w:eastAsia="Arial" w:hAnsi="Arial"/>
          <w:color w:val="1B2631"/>
          <w:sz w:val="22"/>
          <w:szCs w:val="22"/>
        </w:rPr>
        <w:t xml:space="preserve">Gold semantic type: TOTAL</w:t>
      </w:r>
      <w:r>
        <w:rPr>
          <w:rFonts w:ascii="Arial" w:cs="Arial" w:eastAsia="Arial" w:hAnsi="Arial"/>
          <w:color w:val="1B2631"/>
          <w:sz w:val="22"/>
          <w:szCs w:val="22"/>
        </w:rPr>
        <w:t xml:space="preserve">_</w:t>
      </w:r>
      <w:r>
        <w:rPr>
          <w:rFonts w:ascii="Arial" w:cs="Arial" w:eastAsia="Arial" w:hAnsi="Arial"/>
          <w:color w:val="1B2631"/>
          <w:sz w:val="22"/>
          <w:szCs w:val="22"/>
        </w:rPr>
        <w:t xml:space="preserve">ANALYZED</w:t>
      </w:r>
    </w:p>
    <w:p>
      <w:pPr>
        <w:pStyle w:val="ListParagraph"/>
        <w:numPr>
          <w:ilvl w:val="0"/>
          <w:numId w:val="3"/>
        </w:numPr>
        <w:spacing w:after="20" w:before="20" w:line="276"/>
      </w:pPr>
      <w:r>
        <w:rPr>
          <w:rFonts w:ascii="Arial" w:cs="Arial" w:eastAsia="Arial" w:hAnsi="Arial"/>
          <w:color w:val="1B2631"/>
          <w:sz w:val="22"/>
          <w:szCs w:val="22"/>
        </w:rPr>
        <w:t xml:space="preserve">Supporting evidence: We analyzed data on the first 425 confirmed cases in Wuhan.</w:t>
      </w:r>
    </w:p>
    <w:p>
      <w:pPr>
        <w:pStyle w:val="Heading3"/>
        <w:keepNext/>
        <w:spacing w:after="120" w:before="240"/>
      </w:pPr>
      <w:r>
        <w:rPr>
          <w:rFonts w:ascii="Arial" w:cs="Arial" w:eastAsia="Arial" w:hAnsi="Arial"/>
          <w:b w:val="false"/>
          <w:bCs w:val="false"/>
          <w:color w:val="1F784E"/>
          <w:sz w:val="24"/>
          <w:szCs w:val="24"/>
        </w:rPr>
        <w:t xml:space="preserve">D.2.10 10.1016/s2213-2600(20)30079-5</w:t>
      </w:r>
    </w:p>
    <w:p>
      <w:pPr>
        <w:pStyle w:val="ListParagraph"/>
        <w:numPr>
          <w:ilvl w:val="0"/>
          <w:numId w:val="3"/>
        </w:numPr>
        <w:spacing w:after="20" w:before="20" w:line="276"/>
      </w:pPr>
      <w:r>
        <w:rPr>
          <w:rFonts w:ascii="Arial" w:cs="Arial" w:eastAsia="Arial" w:hAnsi="Arial"/>
          <w:color w:val="1B2631"/>
          <w:sz w:val="22"/>
          <w:szCs w:val="22"/>
        </w:rPr>
        <w:t xml:space="preserve">Design: cohort</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52</w:t>
      </w:r>
    </w:p>
    <w:p>
      <w:pPr>
        <w:pStyle w:val="ListParagraph"/>
        <w:numPr>
          <w:ilvl w:val="0"/>
          <w:numId w:val="3"/>
        </w:numPr>
        <w:spacing w:after="20" w:before="20" w:line="276"/>
      </w:pPr>
      <w:r>
        <w:rPr>
          <w:rFonts w:ascii="Arial" w:cs="Arial" w:eastAsia="Arial" w:hAnsi="Arial"/>
          <w:color w:val="1B2631"/>
          <w:sz w:val="22"/>
          <w:szCs w:val="22"/>
        </w:rPr>
        <w:t xml:space="preserve">Gold semantic type: TOTAL</w:t>
      </w:r>
      <w:r>
        <w:rPr>
          <w:rFonts w:ascii="Arial" w:cs="Arial" w:eastAsia="Arial" w:hAnsi="Arial"/>
          <w:color w:val="1B2631"/>
          <w:sz w:val="22"/>
          <w:szCs w:val="22"/>
        </w:rPr>
        <w:t xml:space="preserve">_</w:t>
      </w:r>
      <w:r>
        <w:rPr>
          <w:rFonts w:ascii="Arial" w:cs="Arial" w:eastAsia="Arial" w:hAnsi="Arial"/>
          <w:color w:val="1B2631"/>
          <w:sz w:val="22"/>
          <w:szCs w:val="22"/>
        </w:rPr>
        <w:t xml:space="preserve">ENROLLED</w:t>
      </w:r>
    </w:p>
    <w:p>
      <w:pPr>
        <w:pStyle w:val="ListParagraph"/>
        <w:numPr>
          <w:ilvl w:val="0"/>
          <w:numId w:val="3"/>
        </w:numPr>
        <w:spacing w:after="20" w:before="20" w:line="276"/>
      </w:pPr>
      <w:r>
        <w:rPr>
          <w:rFonts w:ascii="Arial" w:cs="Arial" w:eastAsia="Arial" w:hAnsi="Arial"/>
          <w:color w:val="1B2631"/>
          <w:sz w:val="22"/>
          <w:szCs w:val="22"/>
        </w:rPr>
        <w:t xml:space="preserve">Supporting evidence: we enrolled 52 critically ill adult patients with SARS-CoV-2 pneumonia.</w:t>
      </w:r>
    </w:p>
    <w:p>
      <w:pPr>
        <w:pStyle w:val="Heading3"/>
        <w:keepNext/>
        <w:spacing w:after="120" w:before="240"/>
      </w:pPr>
      <w:r>
        <w:rPr>
          <w:rFonts w:ascii="Arial" w:cs="Arial" w:eastAsia="Arial" w:hAnsi="Arial"/>
          <w:b w:val="false"/>
          <w:bCs w:val="false"/>
          <w:color w:val="1F784E"/>
          <w:sz w:val="24"/>
          <w:szCs w:val="24"/>
        </w:rPr>
        <w:t xml:space="preserve">D.2.11 10.1016/s1473-3099(20)30243-7</w:t>
      </w:r>
    </w:p>
    <w:p>
      <w:pPr>
        <w:pStyle w:val="ListParagraph"/>
        <w:numPr>
          <w:ilvl w:val="0"/>
          <w:numId w:val="3"/>
        </w:numPr>
        <w:spacing w:after="20" w:before="20" w:line="276"/>
      </w:pPr>
      <w:r>
        <w:rPr>
          <w:rFonts w:ascii="Arial" w:cs="Arial" w:eastAsia="Arial" w:hAnsi="Arial"/>
          <w:color w:val="1B2631"/>
          <w:sz w:val="22"/>
          <w:szCs w:val="22"/>
        </w:rPr>
        <w:t xml:space="preserve">Design: modelling</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1334</w:t>
      </w:r>
    </w:p>
    <w:p>
      <w:pPr>
        <w:pStyle w:val="ListParagraph"/>
        <w:numPr>
          <w:ilvl w:val="0"/>
          <w:numId w:val="3"/>
        </w:numPr>
        <w:spacing w:after="20" w:before="20" w:line="276"/>
      </w:pPr>
      <w:r>
        <w:rPr>
          <w:rFonts w:ascii="Arial" w:cs="Arial" w:eastAsia="Arial" w:hAnsi="Arial"/>
          <w:color w:val="1B2631"/>
          <w:sz w:val="22"/>
          <w:szCs w:val="22"/>
        </w:rPr>
        <w:t xml:space="preserve">Gold semantic type: SAMPLE</w:t>
      </w:r>
      <w:r>
        <w:rPr>
          <w:rFonts w:ascii="Arial" w:cs="Arial" w:eastAsia="Arial" w:hAnsi="Arial"/>
          <w:color w:val="1B2631"/>
          <w:sz w:val="22"/>
          <w:szCs w:val="22"/>
        </w:rPr>
        <w:t xml:space="preserve">_</w:t>
      </w:r>
      <w:r>
        <w:rPr>
          <w:rFonts w:ascii="Arial" w:cs="Arial" w:eastAsia="Arial" w:hAnsi="Arial"/>
          <w:color w:val="1B2631"/>
          <w:sz w:val="22"/>
          <w:szCs w:val="22"/>
        </w:rPr>
        <w:t xml:space="preserve">SIZE</w:t>
      </w:r>
      <w:r>
        <w:rPr>
          <w:rFonts w:ascii="Arial" w:cs="Arial" w:eastAsia="Arial" w:hAnsi="Arial"/>
          <w:color w:val="1B2631"/>
          <w:sz w:val="22"/>
          <w:szCs w:val="22"/>
        </w:rPr>
        <w:t xml:space="preserve">_</w:t>
      </w:r>
      <w:r>
        <w:rPr>
          <w:rFonts w:ascii="Arial" w:cs="Arial" w:eastAsia="Arial" w:hAnsi="Arial"/>
          <w:color w:val="1B2631"/>
          <w:sz w:val="22"/>
          <w:szCs w:val="22"/>
        </w:rPr>
        <w:t xml:space="preserve">GENERIC</w:t>
      </w:r>
    </w:p>
    <w:p>
      <w:pPr>
        <w:pStyle w:val="ListParagraph"/>
        <w:numPr>
          <w:ilvl w:val="0"/>
          <w:numId w:val="3"/>
        </w:numPr>
        <w:spacing w:after="20" w:before="20" w:line="276"/>
      </w:pPr>
      <w:r>
        <w:rPr>
          <w:rFonts w:ascii="Arial" w:cs="Arial" w:eastAsia="Arial" w:hAnsi="Arial"/>
          <w:color w:val="1B2631"/>
          <w:sz w:val="22"/>
          <w:szCs w:val="22"/>
        </w:rPr>
        <w:t xml:space="preserve">Supporting evidence: We also estimated the case fatality ratio from individual line-list data on 1334 cases identified outside of mainland China.</w:t>
      </w:r>
    </w:p>
    <w:p>
      <w:pPr>
        <w:pStyle w:val="Heading3"/>
        <w:keepNext/>
        <w:spacing w:after="120" w:before="240"/>
      </w:pPr>
      <w:r>
        <w:rPr>
          <w:rFonts w:ascii="Arial" w:cs="Arial" w:eastAsia="Arial" w:hAnsi="Arial"/>
          <w:b w:val="false"/>
          <w:bCs w:val="false"/>
          <w:color w:val="1F784E"/>
          <w:sz w:val="24"/>
          <w:szCs w:val="24"/>
        </w:rPr>
        <w:t xml:space="preserve">D.2.12 10.1056/nejmoa2001017</w:t>
      </w:r>
    </w:p>
    <w:p>
      <w:pPr>
        <w:pStyle w:val="ListParagraph"/>
        <w:numPr>
          <w:ilvl w:val="0"/>
          <w:numId w:val="3"/>
        </w:numPr>
        <w:spacing w:after="20" w:before="20" w:line="276"/>
      </w:pPr>
      <w:r>
        <w:rPr>
          <w:rFonts w:ascii="Arial" w:cs="Arial" w:eastAsia="Arial" w:hAnsi="Arial"/>
          <w:color w:val="1B2631"/>
          <w:sz w:val="22"/>
          <w:szCs w:val="22"/>
        </w:rPr>
        <w:t xml:space="preserve">Design: virus</w:t>
      </w:r>
      <w:r>
        <w:rPr>
          <w:rFonts w:ascii="Arial" w:cs="Arial" w:eastAsia="Arial" w:hAnsi="Arial"/>
          <w:color w:val="1B2631"/>
          <w:sz w:val="22"/>
          <w:szCs w:val="22"/>
        </w:rPr>
        <w:t xml:space="preserve">_</w:t>
      </w:r>
      <w:r>
        <w:rPr>
          <w:rFonts w:ascii="Arial" w:cs="Arial" w:eastAsia="Arial" w:hAnsi="Arial"/>
          <w:color w:val="1B2631"/>
          <w:sz w:val="22"/>
          <w:szCs w:val="22"/>
        </w:rPr>
        <w:t xml:space="preserve">characterisation</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none (negative case)</w:t>
      </w:r>
    </w:p>
    <w:p>
      <w:pPr>
        <w:pStyle w:val="ListParagraph"/>
        <w:numPr>
          <w:ilvl w:val="0"/>
          <w:numId w:val="3"/>
        </w:numPr>
        <w:spacing w:after="20" w:before="20" w:line="276"/>
      </w:pPr>
      <w:r>
        <w:rPr>
          <w:rFonts w:ascii="Arial" w:cs="Arial" w:eastAsia="Arial" w:hAnsi="Arial"/>
          <w:color w:val="1B2631"/>
          <w:sz w:val="22"/>
          <w:szCs w:val="22"/>
        </w:rPr>
        <w:t xml:space="preserve">Gold semantic type: n/a</w:t>
      </w:r>
    </w:p>
    <w:p>
      <w:pPr>
        <w:pStyle w:val="ListParagraph"/>
        <w:numPr>
          <w:ilvl w:val="0"/>
          <w:numId w:val="3"/>
        </w:numPr>
        <w:spacing w:after="20" w:before="20" w:line="276"/>
      </w:pPr>
      <w:r>
        <w:rPr>
          <w:rFonts w:ascii="Arial" w:cs="Arial" w:eastAsia="Arial" w:hAnsi="Arial"/>
          <w:color w:val="1B2631"/>
          <w:sz w:val="22"/>
          <w:szCs w:val="22"/>
        </w:rPr>
        <w:t xml:space="preserve">Supporting evidence: Abstract describes isolation of a novel betacoronavirus; no study population size is stated.</w:t>
      </w:r>
    </w:p>
    <w:p>
      <w:pPr>
        <w:pStyle w:val="Heading3"/>
        <w:keepNext/>
        <w:spacing w:after="120" w:before="240"/>
      </w:pPr>
      <w:r>
        <w:rPr>
          <w:rFonts w:ascii="Arial" w:cs="Arial" w:eastAsia="Arial" w:hAnsi="Arial"/>
          <w:b w:val="false"/>
          <w:bCs w:val="false"/>
          <w:color w:val="1F784E"/>
          <w:sz w:val="24"/>
          <w:szCs w:val="24"/>
        </w:rPr>
        <w:t xml:space="preserve">D.2.13 10.1038/s41586-020-2012-7</w:t>
      </w:r>
    </w:p>
    <w:p>
      <w:pPr>
        <w:pStyle w:val="ListParagraph"/>
        <w:numPr>
          <w:ilvl w:val="0"/>
          <w:numId w:val="3"/>
        </w:numPr>
        <w:spacing w:after="20" w:before="20" w:line="276"/>
      </w:pPr>
      <w:r>
        <w:rPr>
          <w:rFonts w:ascii="Arial" w:cs="Arial" w:eastAsia="Arial" w:hAnsi="Arial"/>
          <w:color w:val="1B2631"/>
          <w:sz w:val="22"/>
          <w:szCs w:val="22"/>
        </w:rPr>
        <w:t xml:space="preserve">Design: virus</w:t>
      </w:r>
      <w:r>
        <w:rPr>
          <w:rFonts w:ascii="Arial" w:cs="Arial" w:eastAsia="Arial" w:hAnsi="Arial"/>
          <w:color w:val="1B2631"/>
          <w:sz w:val="22"/>
          <w:szCs w:val="22"/>
        </w:rPr>
        <w:t xml:space="preserve">_</w:t>
      </w:r>
      <w:r>
        <w:rPr>
          <w:rFonts w:ascii="Arial" w:cs="Arial" w:eastAsia="Arial" w:hAnsi="Arial"/>
          <w:color w:val="1B2631"/>
          <w:sz w:val="22"/>
          <w:szCs w:val="22"/>
        </w:rPr>
        <w:t xml:space="preserve">characterisation</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none (negative case)</w:t>
      </w:r>
    </w:p>
    <w:p>
      <w:pPr>
        <w:pStyle w:val="ListParagraph"/>
        <w:numPr>
          <w:ilvl w:val="0"/>
          <w:numId w:val="3"/>
        </w:numPr>
        <w:spacing w:after="20" w:before="20" w:line="276"/>
      </w:pPr>
      <w:r>
        <w:rPr>
          <w:rFonts w:ascii="Arial" w:cs="Arial" w:eastAsia="Arial" w:hAnsi="Arial"/>
          <w:color w:val="1B2631"/>
          <w:sz w:val="22"/>
          <w:szCs w:val="22"/>
        </w:rPr>
        <w:t xml:space="preserve">Gold semantic type: n/a</w:t>
      </w:r>
    </w:p>
    <w:p>
      <w:pPr>
        <w:pStyle w:val="ListParagraph"/>
        <w:numPr>
          <w:ilvl w:val="0"/>
          <w:numId w:val="3"/>
        </w:numPr>
        <w:spacing w:after="20" w:before="20" w:line="276"/>
      </w:pPr>
      <w:r>
        <w:rPr>
          <w:rFonts w:ascii="Arial" w:cs="Arial" w:eastAsia="Arial" w:hAnsi="Arial"/>
          <w:color w:val="1B2631"/>
          <w:sz w:val="22"/>
          <w:szCs w:val="22"/>
        </w:rPr>
        <w:t xml:space="preserve">Supporting evidence: HARD NEGATIVE: '2,794 laboratory-confirmed infections including 80 deaths' is an epidemic tally, not this study's sample.</w:t>
      </w:r>
    </w:p>
    <w:p>
      <w:pPr>
        <w:pStyle w:val="Heading3"/>
        <w:keepNext/>
        <w:spacing w:after="120" w:before="240"/>
      </w:pPr>
      <w:r>
        <w:rPr>
          <w:rFonts w:ascii="Arial" w:cs="Arial" w:eastAsia="Arial" w:hAnsi="Arial"/>
          <w:b w:val="false"/>
          <w:bCs w:val="false"/>
          <w:color w:val="1F784E"/>
          <w:sz w:val="24"/>
          <w:szCs w:val="24"/>
        </w:rPr>
        <w:t xml:space="preserve">D.2.14 10.1136/bmj.m1328</w:t>
      </w:r>
    </w:p>
    <w:p>
      <w:pPr>
        <w:pStyle w:val="ListParagraph"/>
        <w:numPr>
          <w:ilvl w:val="0"/>
          <w:numId w:val="3"/>
        </w:numPr>
        <w:spacing w:after="20" w:before="20" w:line="276"/>
      </w:pPr>
      <w:r>
        <w:rPr>
          <w:rFonts w:ascii="Arial" w:cs="Arial" w:eastAsia="Arial" w:hAnsi="Arial"/>
          <w:color w:val="1B2631"/>
          <w:sz w:val="22"/>
          <w:szCs w:val="22"/>
        </w:rPr>
        <w:t xml:space="preserve">Design: systematic</w:t>
      </w:r>
      <w:r>
        <w:rPr>
          <w:rFonts w:ascii="Arial" w:cs="Arial" w:eastAsia="Arial" w:hAnsi="Arial"/>
          <w:color w:val="1B2631"/>
          <w:sz w:val="22"/>
          <w:szCs w:val="22"/>
        </w:rPr>
        <w:t xml:space="preserve">_</w:t>
      </w:r>
      <w:r>
        <w:rPr>
          <w:rFonts w:ascii="Arial" w:cs="Arial" w:eastAsia="Arial" w:hAnsi="Arial"/>
          <w:color w:val="1B2631"/>
          <w:sz w:val="22"/>
          <w:szCs w:val="22"/>
        </w:rPr>
        <w:t xml:space="preserve">review</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none (negative case)</w:t>
      </w:r>
    </w:p>
    <w:p>
      <w:pPr>
        <w:pStyle w:val="ListParagraph"/>
        <w:numPr>
          <w:ilvl w:val="0"/>
          <w:numId w:val="3"/>
        </w:numPr>
        <w:spacing w:after="20" w:before="20" w:line="276"/>
      </w:pPr>
      <w:r>
        <w:rPr>
          <w:rFonts w:ascii="Arial" w:cs="Arial" w:eastAsia="Arial" w:hAnsi="Arial"/>
          <w:color w:val="1B2631"/>
          <w:sz w:val="22"/>
          <w:szCs w:val="22"/>
        </w:rPr>
        <w:t xml:space="preserve">Gold semantic type: n/a</w:t>
      </w:r>
    </w:p>
    <w:p>
      <w:pPr>
        <w:pStyle w:val="ListParagraph"/>
        <w:numPr>
          <w:ilvl w:val="0"/>
          <w:numId w:val="3"/>
        </w:numPr>
        <w:spacing w:after="20" w:before="20" w:line="276"/>
      </w:pPr>
      <w:r>
        <w:rPr>
          <w:rFonts w:ascii="Arial" w:cs="Arial" w:eastAsia="Arial" w:hAnsi="Arial"/>
          <w:color w:val="1B2631"/>
          <w:sz w:val="22"/>
          <w:szCs w:val="22"/>
        </w:rPr>
        <w:t xml:space="preserve">Supporting evidence: HARD NEGATIVE: a systematic review of prediction models; its units are studies, not patients.</w:t>
      </w:r>
    </w:p>
    <w:p>
      <w:pPr>
        <w:pStyle w:val="Heading3"/>
        <w:keepNext/>
        <w:spacing w:after="120" w:before="240"/>
      </w:pPr>
      <w:r>
        <w:rPr>
          <w:rFonts w:ascii="Arial" w:cs="Arial" w:eastAsia="Arial" w:hAnsi="Arial"/>
          <w:b w:val="false"/>
          <w:bCs w:val="false"/>
          <w:color w:val="1F784E"/>
          <w:sz w:val="24"/>
          <w:szCs w:val="24"/>
        </w:rPr>
        <w:t xml:space="preserve">D.2.15 10.1038/s41577-020-0311-8</w:t>
      </w:r>
    </w:p>
    <w:p>
      <w:pPr>
        <w:pStyle w:val="ListParagraph"/>
        <w:numPr>
          <w:ilvl w:val="0"/>
          <w:numId w:val="3"/>
        </w:numPr>
        <w:spacing w:after="20" w:before="20" w:line="276"/>
      </w:pPr>
      <w:r>
        <w:rPr>
          <w:rFonts w:ascii="Arial" w:cs="Arial" w:eastAsia="Arial" w:hAnsi="Arial"/>
          <w:color w:val="1B2631"/>
          <w:sz w:val="22"/>
          <w:szCs w:val="22"/>
        </w:rPr>
        <w:t xml:space="preserve">Design: review</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none (negative case)</w:t>
      </w:r>
    </w:p>
    <w:p>
      <w:pPr>
        <w:pStyle w:val="ListParagraph"/>
        <w:numPr>
          <w:ilvl w:val="0"/>
          <w:numId w:val="3"/>
        </w:numPr>
        <w:spacing w:after="20" w:before="20" w:line="276"/>
      </w:pPr>
      <w:r>
        <w:rPr>
          <w:rFonts w:ascii="Arial" w:cs="Arial" w:eastAsia="Arial" w:hAnsi="Arial"/>
          <w:color w:val="1B2631"/>
          <w:sz w:val="22"/>
          <w:szCs w:val="22"/>
        </w:rPr>
        <w:t xml:space="preserve">Gold semantic type: n/a</w:t>
      </w:r>
    </w:p>
    <w:p>
      <w:pPr>
        <w:pStyle w:val="ListParagraph"/>
        <w:numPr>
          <w:ilvl w:val="0"/>
          <w:numId w:val="3"/>
        </w:numPr>
        <w:spacing w:after="20" w:before="20" w:line="276"/>
      </w:pPr>
      <w:r>
        <w:rPr>
          <w:rFonts w:ascii="Arial" w:cs="Arial" w:eastAsia="Arial" w:hAnsi="Arial"/>
          <w:color w:val="1B2631"/>
          <w:sz w:val="22"/>
          <w:szCs w:val="22"/>
        </w:rPr>
        <w:t xml:space="preserve">Supporting evidence: Narrative review of COVID-19 immunology; no study population.</w:t>
      </w:r>
    </w:p>
    <w:p>
      <w:pPr>
        <w:pStyle w:val="Heading3"/>
        <w:keepNext/>
        <w:spacing w:after="120" w:before="240"/>
      </w:pPr>
      <w:r>
        <w:rPr>
          <w:rFonts w:ascii="Arial" w:cs="Arial" w:eastAsia="Arial" w:hAnsi="Arial"/>
          <w:b w:val="false"/>
          <w:bCs w:val="false"/>
          <w:color w:val="1F784E"/>
          <w:sz w:val="24"/>
          <w:szCs w:val="24"/>
        </w:rPr>
        <w:t xml:space="preserve">D.2.16 10.1164/rccm.201908-1581st</w:t>
      </w:r>
    </w:p>
    <w:p>
      <w:pPr>
        <w:pStyle w:val="ListParagraph"/>
        <w:numPr>
          <w:ilvl w:val="0"/>
          <w:numId w:val="3"/>
        </w:numPr>
        <w:spacing w:after="20" w:before="20" w:line="276"/>
      </w:pPr>
      <w:r>
        <w:rPr>
          <w:rFonts w:ascii="Arial" w:cs="Arial" w:eastAsia="Arial" w:hAnsi="Arial"/>
          <w:color w:val="1B2631"/>
          <w:sz w:val="22"/>
          <w:szCs w:val="22"/>
        </w:rPr>
        <w:t xml:space="preserve">Design: guideline</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none (negative case)</w:t>
      </w:r>
    </w:p>
    <w:p>
      <w:pPr>
        <w:pStyle w:val="ListParagraph"/>
        <w:numPr>
          <w:ilvl w:val="0"/>
          <w:numId w:val="3"/>
        </w:numPr>
        <w:spacing w:after="20" w:before="20" w:line="276"/>
      </w:pPr>
      <w:r>
        <w:rPr>
          <w:rFonts w:ascii="Arial" w:cs="Arial" w:eastAsia="Arial" w:hAnsi="Arial"/>
          <w:color w:val="1B2631"/>
          <w:sz w:val="22"/>
          <w:szCs w:val="22"/>
        </w:rPr>
        <w:t xml:space="preserve">Gold semantic type: n/a</w:t>
      </w:r>
    </w:p>
    <w:p>
      <w:pPr>
        <w:pStyle w:val="ListParagraph"/>
        <w:numPr>
          <w:ilvl w:val="0"/>
          <w:numId w:val="3"/>
        </w:numPr>
        <w:spacing w:after="20" w:before="20" w:line="276"/>
      </w:pPr>
      <w:r>
        <w:rPr>
          <w:rFonts w:ascii="Arial" w:cs="Arial" w:eastAsia="Arial" w:hAnsi="Arial"/>
          <w:color w:val="1B2631"/>
          <w:sz w:val="22"/>
          <w:szCs w:val="22"/>
        </w:rPr>
        <w:t xml:space="preserve">Supporting evidence: Clinical practice guideline; no study population.</w:t>
      </w:r>
    </w:p>
    <w:p>
      <w:pPr>
        <w:pStyle w:val="Heading3"/>
        <w:keepNext/>
        <w:spacing w:after="120" w:before="240"/>
      </w:pPr>
      <w:r>
        <w:rPr>
          <w:rFonts w:ascii="Arial" w:cs="Arial" w:eastAsia="Arial" w:hAnsi="Arial"/>
          <w:b w:val="false"/>
          <w:bCs w:val="false"/>
          <w:color w:val="1F784E"/>
          <w:sz w:val="24"/>
          <w:szCs w:val="24"/>
        </w:rPr>
        <w:t xml:space="preserve">D.2.17 10.1056/nejmra2026131</w:t>
      </w:r>
    </w:p>
    <w:p>
      <w:pPr>
        <w:pStyle w:val="ListParagraph"/>
        <w:numPr>
          <w:ilvl w:val="0"/>
          <w:numId w:val="3"/>
        </w:numPr>
        <w:spacing w:after="20" w:before="20" w:line="276"/>
      </w:pPr>
      <w:r>
        <w:rPr>
          <w:rFonts w:ascii="Arial" w:cs="Arial" w:eastAsia="Arial" w:hAnsi="Arial"/>
          <w:color w:val="1B2631"/>
          <w:sz w:val="22"/>
          <w:szCs w:val="22"/>
        </w:rPr>
        <w:t xml:space="preserve">Design: review</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none (negative case)</w:t>
      </w:r>
    </w:p>
    <w:p>
      <w:pPr>
        <w:pStyle w:val="ListParagraph"/>
        <w:numPr>
          <w:ilvl w:val="0"/>
          <w:numId w:val="3"/>
        </w:numPr>
        <w:spacing w:after="20" w:before="20" w:line="276"/>
      </w:pPr>
      <w:r>
        <w:rPr>
          <w:rFonts w:ascii="Arial" w:cs="Arial" w:eastAsia="Arial" w:hAnsi="Arial"/>
          <w:color w:val="1B2631"/>
          <w:sz w:val="22"/>
          <w:szCs w:val="22"/>
        </w:rPr>
        <w:t xml:space="preserve">Gold semantic type: n/a</w:t>
      </w:r>
    </w:p>
    <w:p>
      <w:pPr>
        <w:pStyle w:val="ListParagraph"/>
        <w:numPr>
          <w:ilvl w:val="0"/>
          <w:numId w:val="3"/>
        </w:numPr>
        <w:spacing w:after="20" w:before="20" w:line="276"/>
      </w:pPr>
      <w:r>
        <w:rPr>
          <w:rFonts w:ascii="Arial" w:cs="Arial" w:eastAsia="Arial" w:hAnsi="Arial"/>
          <w:color w:val="1B2631"/>
          <w:sz w:val="22"/>
          <w:szCs w:val="22"/>
        </w:rPr>
        <w:t xml:space="preserve">Supporting evidence: Review article on cytokine storm; no study population.</w:t>
      </w:r>
    </w:p>
    <w:p>
      <w:pPr>
        <w:pStyle w:val="Heading3"/>
        <w:keepNext/>
        <w:spacing w:after="120" w:before="240"/>
      </w:pPr>
      <w:r>
        <w:rPr>
          <w:rFonts w:ascii="Arial" w:cs="Arial" w:eastAsia="Arial" w:hAnsi="Arial"/>
          <w:b w:val="false"/>
          <w:bCs w:val="false"/>
          <w:color w:val="1F784E"/>
          <w:sz w:val="24"/>
          <w:szCs w:val="24"/>
        </w:rPr>
        <w:t xml:space="preserve">D.2.18 10.1038/s41586-021-03819-2</w:t>
      </w:r>
    </w:p>
    <w:p>
      <w:pPr>
        <w:pStyle w:val="ListParagraph"/>
        <w:numPr>
          <w:ilvl w:val="0"/>
          <w:numId w:val="3"/>
        </w:numPr>
        <w:spacing w:after="20" w:before="20" w:line="276"/>
      </w:pPr>
      <w:r>
        <w:rPr>
          <w:rFonts w:ascii="Arial" w:cs="Arial" w:eastAsia="Arial" w:hAnsi="Arial"/>
          <w:color w:val="1B2631"/>
          <w:sz w:val="22"/>
          <w:szCs w:val="22"/>
        </w:rPr>
        <w:t xml:space="preserve">Design: computational</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none (negative case)</w:t>
      </w:r>
    </w:p>
    <w:p>
      <w:pPr>
        <w:pStyle w:val="ListParagraph"/>
        <w:numPr>
          <w:ilvl w:val="0"/>
          <w:numId w:val="3"/>
        </w:numPr>
        <w:spacing w:after="20" w:before="20" w:line="276"/>
      </w:pPr>
      <w:r>
        <w:rPr>
          <w:rFonts w:ascii="Arial" w:cs="Arial" w:eastAsia="Arial" w:hAnsi="Arial"/>
          <w:color w:val="1B2631"/>
          <w:sz w:val="22"/>
          <w:szCs w:val="22"/>
        </w:rPr>
        <w:t xml:space="preserve">Gold semantic type: n/a</w:t>
      </w:r>
    </w:p>
    <w:p>
      <w:pPr>
        <w:pStyle w:val="ListParagraph"/>
        <w:numPr>
          <w:ilvl w:val="0"/>
          <w:numId w:val="3"/>
        </w:numPr>
        <w:spacing w:after="20" w:before="20" w:line="276"/>
      </w:pPr>
      <w:r>
        <w:rPr>
          <w:rFonts w:ascii="Arial" w:cs="Arial" w:eastAsia="Arial" w:hAnsi="Arial"/>
          <w:color w:val="1B2631"/>
          <w:sz w:val="22"/>
          <w:szCs w:val="22"/>
        </w:rPr>
        <w:t xml:space="preserve">Supporting evidence: HARD NEGATIVE: protein-structure prediction; CASP14 target counts are not human subjects.</w:t>
      </w:r>
    </w:p>
    <w:p>
      <w:pPr>
        <w:pStyle w:val="Heading3"/>
        <w:keepNext/>
        <w:spacing w:after="120" w:before="240"/>
      </w:pPr>
      <w:r>
        <w:rPr>
          <w:rFonts w:ascii="Arial" w:cs="Arial" w:eastAsia="Arial" w:hAnsi="Arial"/>
          <w:b w:val="false"/>
          <w:bCs w:val="false"/>
          <w:color w:val="1F784E"/>
          <w:sz w:val="24"/>
          <w:szCs w:val="24"/>
        </w:rPr>
        <w:t xml:space="preserve">D.2.19 10.1038/nature14539</w:t>
      </w:r>
    </w:p>
    <w:p>
      <w:pPr>
        <w:pStyle w:val="ListParagraph"/>
        <w:numPr>
          <w:ilvl w:val="0"/>
          <w:numId w:val="3"/>
        </w:numPr>
        <w:spacing w:after="20" w:before="20" w:line="276"/>
      </w:pPr>
      <w:r>
        <w:rPr>
          <w:rFonts w:ascii="Arial" w:cs="Arial" w:eastAsia="Arial" w:hAnsi="Arial"/>
          <w:color w:val="1B2631"/>
          <w:sz w:val="22"/>
          <w:szCs w:val="22"/>
        </w:rPr>
        <w:t xml:space="preserve">Design: review</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none (negative case)</w:t>
      </w:r>
    </w:p>
    <w:p>
      <w:pPr>
        <w:pStyle w:val="ListParagraph"/>
        <w:numPr>
          <w:ilvl w:val="0"/>
          <w:numId w:val="3"/>
        </w:numPr>
        <w:spacing w:after="20" w:before="20" w:line="276"/>
      </w:pPr>
      <w:r>
        <w:rPr>
          <w:rFonts w:ascii="Arial" w:cs="Arial" w:eastAsia="Arial" w:hAnsi="Arial"/>
          <w:color w:val="1B2631"/>
          <w:sz w:val="22"/>
          <w:szCs w:val="22"/>
        </w:rPr>
        <w:t xml:space="preserve">Gold semantic type: n/a</w:t>
      </w:r>
    </w:p>
    <w:p>
      <w:pPr>
        <w:pStyle w:val="ListParagraph"/>
        <w:numPr>
          <w:ilvl w:val="0"/>
          <w:numId w:val="3"/>
        </w:numPr>
        <w:spacing w:after="20" w:before="20" w:line="276"/>
      </w:pPr>
      <w:r>
        <w:rPr>
          <w:rFonts w:ascii="Arial" w:cs="Arial" w:eastAsia="Arial" w:hAnsi="Arial"/>
          <w:color w:val="1B2631"/>
          <w:sz w:val="22"/>
          <w:szCs w:val="22"/>
        </w:rPr>
        <w:t xml:space="preserve">Supporting evidence: Review of deep learning; no study population.</w:t>
      </w:r>
    </w:p>
    <w:p>
      <w:pPr>
        <w:pStyle w:val="Heading3"/>
        <w:keepNext/>
        <w:spacing w:after="120" w:before="240"/>
      </w:pPr>
      <w:r>
        <w:rPr>
          <w:rFonts w:ascii="Arial" w:cs="Arial" w:eastAsia="Arial" w:hAnsi="Arial"/>
          <w:b w:val="false"/>
          <w:bCs w:val="false"/>
          <w:color w:val="1F784E"/>
          <w:sz w:val="24"/>
          <w:szCs w:val="24"/>
        </w:rPr>
        <w:t xml:space="preserve">D.2.20 10.1145/3065386</w:t>
      </w:r>
    </w:p>
    <w:p>
      <w:pPr>
        <w:pStyle w:val="ListParagraph"/>
        <w:numPr>
          <w:ilvl w:val="0"/>
          <w:numId w:val="3"/>
        </w:numPr>
        <w:spacing w:after="20" w:before="20" w:line="276"/>
      </w:pPr>
      <w:r>
        <w:rPr>
          <w:rFonts w:ascii="Arial" w:cs="Arial" w:eastAsia="Arial" w:hAnsi="Arial"/>
          <w:color w:val="1B2631"/>
          <w:sz w:val="22"/>
          <w:szCs w:val="22"/>
        </w:rPr>
        <w:t xml:space="preserve">Design: computational</w:t>
      </w:r>
    </w:p>
    <w:p>
      <w:pPr>
        <w:pStyle w:val="ListParagraph"/>
        <w:numPr>
          <w:ilvl w:val="0"/>
          <w:numId w:val="3"/>
        </w:numPr>
        <w:spacing w:after="20" w:before="20" w:line="276"/>
      </w:pPr>
      <w:r>
        <w:rPr>
          <w:rFonts w:ascii="Arial" w:cs="Arial" w:eastAsia="Arial" w:hAnsi="Arial"/>
          <w:color w:val="1B2631"/>
          <w:sz w:val="22"/>
          <w:szCs w:val="22"/>
        </w:rPr>
        <w:t xml:space="preserve">Gold n</w:t>
      </w:r>
      <w:r>
        <w:rPr>
          <w:rFonts w:ascii="Arial" w:cs="Arial" w:eastAsia="Arial" w:hAnsi="Arial"/>
          <w:color w:val="1B2631"/>
          <w:sz w:val="22"/>
          <w:szCs w:val="22"/>
        </w:rPr>
        <w:t xml:space="preserve">_</w:t>
      </w:r>
      <w:r>
        <w:rPr>
          <w:rFonts w:ascii="Arial" w:cs="Arial" w:eastAsia="Arial" w:hAnsi="Arial"/>
          <w:color w:val="1B2631"/>
          <w:sz w:val="22"/>
          <w:szCs w:val="22"/>
        </w:rPr>
        <w:t xml:space="preserve">eff: none (negative case)</w:t>
      </w:r>
    </w:p>
    <w:p>
      <w:pPr>
        <w:pStyle w:val="ListParagraph"/>
        <w:numPr>
          <w:ilvl w:val="0"/>
          <w:numId w:val="3"/>
        </w:numPr>
        <w:spacing w:after="20" w:before="20" w:line="276"/>
      </w:pPr>
      <w:r>
        <w:rPr>
          <w:rFonts w:ascii="Arial" w:cs="Arial" w:eastAsia="Arial" w:hAnsi="Arial"/>
          <w:color w:val="1B2631"/>
          <w:sz w:val="22"/>
          <w:szCs w:val="22"/>
        </w:rPr>
        <w:t xml:space="preserve">Gold semantic type: n/a</w:t>
      </w:r>
    </w:p>
    <w:p>
      <w:pPr>
        <w:pStyle w:val="ListParagraph"/>
        <w:numPr>
          <w:ilvl w:val="0"/>
          <w:numId w:val="3"/>
        </w:numPr>
        <w:spacing w:after="20" w:before="20" w:line="276"/>
      </w:pPr>
      <w:r>
        <w:rPr>
          <w:rFonts w:ascii="Arial" w:cs="Arial" w:eastAsia="Arial" w:hAnsi="Arial"/>
          <w:color w:val="1B2631"/>
          <w:sz w:val="22"/>
          <w:szCs w:val="22"/>
        </w:rPr>
        <w:t xml:space="preserve">Supporting evidence: HARD NEGATIVE: '1.2 million high-resolution images' is a dataset size, not a human study population.</w:t>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Appendix E: Requirements Traceability</w:t>
      </w:r>
    </w:p>
    <w:p>
      <w:pPr>
        <w:spacing w:after="60" w:before="60" w:line="276"/>
      </w:pPr>
      <w:r>
        <w:rPr>
          <w:rFonts w:ascii="Arial" w:cs="Arial" w:eastAsia="Arial" w:hAnsi="Arial"/>
          <w:color w:val="1B2631"/>
          <w:sz w:val="22"/>
          <w:szCs w:val="22"/>
        </w:rPr>
        <w:t xml:space="preserve">This appendix maps every requirement from Chapter 3 to the implementing module, the verifying test or measurement, and the section reporting the outcome. Its purpose is to make partial and unmet requirements visible rather than leaving them to be inferred from absence.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E.1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Implemented in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Verified by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Accept DOI, PMID, PMCID, title, URL</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models/paper.py, input/normalizer.py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test_input_normalizer.py, test_api_comprehensive.py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Canonicalise identifiers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utils/ids.py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test_input_normalizer.py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FR-3</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Extract identifier from URL text</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input/url_resolver.py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test_url_resolver.py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Reject malformed identifiers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models/paper.py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test_api_comprehensive.py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FR-5</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Concurrent multi-provider query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metadata/resolver.py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Code inspection; §6.6.1</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Field-level merge precedence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metadata/merger.py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FR-7</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Per-provider provenance</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models/paper.py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Data inspection</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Recover missing abstracts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providers/europe_pmc.py, pipeline/orchestrator.py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FR-9</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Backward traversal, depth 0–3</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citations/traversal.py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§6.5</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Forward traversal, depth 0–2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citations/traversal.py, providers/openalex.py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FR-11</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Bound total papers 1–200</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api/routes.py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test_api_comprehensive.py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Merge duplicate records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citations/traversal.py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 merge precision unmeasured (§7.3.2)</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FR-13</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dangling edges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citations/traversal.py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§6.5, 0 across 3 runs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Extract population candidates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nlp/population_extractor.py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§6.4.1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FR-15</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Classify semantic type</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nlp/population_patterns.py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§6.4.3, 6/10</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Partially 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Resolve to one value per paper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nlp/population_resolver.py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§6.4.2, 10/11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FR-17</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Attach confidence and status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models/population.py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§6.4.4</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Partially met, confidence uncalibrated</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Ignore years, percentages, p-values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nlp/population_extractor.py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test_population_patterns.py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FR-19</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Evidence-based edge weighting</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graph/weighting.py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§5.6</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Non-zero weight without evidence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graph/weighting.py, graph/builder.py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FR-21</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Rank foundational papers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graph/analytics.py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§6.5</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 ranking quality unvalidated (§7.3.4)</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Rank citation paths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graph/analytics.py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§6.6.4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FR-23</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Five export formats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api/routes.py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test_api_comprehensive.py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FR-24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REST API and dashboard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api/, frontend/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§5.9, §5.11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bl>
    <w:p>
      <w:pPr>
        <w:spacing w:before="120"/>
      </w:pPr>
      <w:r>
        <w:t xml:space="preserve"/>
      </w:r>
    </w:p>
    <w:p>
      <w:pPr>
        <w:spacing w:after="60" w:before="60" w:line="276"/>
      </w:pPr>
      <w:r>
        <w:rPr>
          <w:rFonts w:ascii="Arial" w:cs="Arial" w:eastAsia="Arial" w:hAnsi="Arial"/>
          <w:color w:val="1B2631"/>
          <w:sz w:val="22"/>
          <w:szCs w:val="22"/>
        </w:rPr>
        <w:t xml:space="preserve">Summary: 22 of 24 met; FR-15 and FR-17 partially met. Both partial results concern the same underlying weakness, the system's semantic and probabilistic judgements about extractions are weaker than its value extraction.</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E.2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ID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Measured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NFR-1</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40-paper run within 60 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&lt; 60 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19.0 s mean (§6.5)</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 at 40 and 100 papers; fails at 200 (209 s, §6.6.2)</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Analytics a minority of runtime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&lt; 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2.5% (§6.6.1)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NFR-3</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Provider failure degrades, not aborts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unhandled exception</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§5.4</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paywalled full text retrieved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Zero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By construction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NFR-5</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outbound fetch to private addresses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Zero</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§5.7</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Browser access restricted to one origin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Configured origin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r>
        <w:trPr>
          <w:tblHeader w:val="false"/>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NFR-7</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Every metric recomputable from a script</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100%</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Appendix C</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Met</w:t>
            </w:r>
          </w:p>
        </w:tc>
      </w:tr>
    </w:tbl>
    <w:p>
      <w:pPr>
        <w:spacing w:before="12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E.3 Proposal capabilities not delivered</w:t>
      </w:r>
    </w:p>
    <w:p>
      <w:pPr>
        <w:spacing w:after="60" w:before="60" w:line="276"/>
      </w:pPr>
      <w:r>
        <w:rPr>
          <w:rFonts w:ascii="Arial" w:cs="Arial" w:eastAsia="Arial" w:hAnsi="Arial"/>
          <w:color w:val="1B2631"/>
          <w:sz w:val="22"/>
          <w:szCs w:val="22"/>
        </w:rPr>
        <w:t xml:space="preserve">Listed for completeness; discussed in Section 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Capability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Evidence</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GROBID full-text parsing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Configuration flag only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module; ENABLE_GROBID unused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Neo4j graph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Configuration flags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driver integration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Study-level deduplication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1:1 paper→study mapping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dedupe_confidence hardcoded 0.8</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Streamlit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Superseded by the React SPA</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EVENT_COUNT semantic type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Model only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pattern emits it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UNKNOWN_NUMERIC semantic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Model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No pattern emits it</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Journal quality term</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Constant 0.5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weighting.py</w:t>
            </w:r>
          </w:p>
        </w:tc>
      </w:tr>
    </w:tbl>
    <w:p>
      <w:pPr>
        <w:spacing w:before="12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E.4 Research questions to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RQ</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Question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Answered in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Verdict</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RQ1</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Reliable pattern-based extraction?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§6.4</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Partially, detection strong (F1 0.957), typing weak (0.60), confidence uncalibrated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RQ2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Does text availability constrain more than accuracy?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Yes, 28% of papers lacked abstracts; all recoverable from a second provider</w:t>
            </w:r>
          </w:p>
        </w:tc>
      </w:tr>
      <w:tr>
        <w:trPr>
          <w:tblHeader w:val="false"/>
        </w:trP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RQ3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Defensible evidence-weighted ranking?</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Unproven, plausible output, no relevance study, no baseline comparison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RQ4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Fast enough, and what dominates?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Yes, 19 s mean; 63% network I/O, 2.5% analytics</w:t>
            </w:r>
          </w:p>
        </w:tc>
      </w:tr>
    </w:tbl>
    <w:p>
      <w:pPr>
        <w:spacing w:before="120"/>
      </w:pPr>
      <w:r>
        <w:t xml:space="preserve"/>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Appendix F: Test Suite and Verification Inventory</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F.1 Composition</w:t>
      </w:r>
    </w:p>
    <w:p>
      <w:pPr>
        <w:spacing w:after="60" w:before="60" w:line="276"/>
      </w:pPr>
      <w:r>
        <w:rPr>
          <w:rFonts w:ascii="Arial" w:cs="Arial" w:eastAsia="Arial" w:hAnsi="Arial"/>
          <w:color w:val="1B2631"/>
          <w:sz w:val="22"/>
          <w:szCs w:val="22"/>
        </w:rPr>
        <w:t xml:space="preserve">102 automated tests across eight files. All external HTTP is intercepted at transport level by respx, so the suite requires no network access and no API credentials, and completes in roughly 20–35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File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Tests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Covers</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test_api_comprehensive.py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63</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Endpoints, validation, clamping, auth, CORS, exports, pipeline end-to-end with mocked providers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test_sqlite_store.py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Persistence, lock retry policy, backoff jitter, error classification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test_add_citegraph_route.py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7</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Deployment route-insertion helper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test_population_patterns.py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Extraction patterns and ignore-span behaviour</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test_ranking.py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Foundational scoring and path ranking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test_task_manager.py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Background task lifecycle and shutdown semantics</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test_url_resolver.py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URL→identifier extraction, DOI view-segment trimming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test_input_normalizer.py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Identifier canonicalisation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Total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102</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
            </w:r>
          </w:p>
        </w:tc>
      </w:tr>
    </w:tbl>
    <w:p>
      <w:pPr>
        <w:spacing w:before="12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F.2 Regression tests added during evaluation</w:t>
      </w:r>
    </w:p>
    <w:p>
      <w:pPr>
        <w:spacing w:after="60" w:before="60" w:line="276"/>
      </w:pPr>
      <w:r>
        <w:rPr>
          <w:rFonts w:ascii="Arial" w:cs="Arial" w:eastAsia="Arial" w:hAnsi="Arial"/>
          <w:color w:val="1B2631"/>
          <w:sz w:val="22"/>
          <w:szCs w:val="22"/>
        </w:rPr>
        <w:t xml:space="preserve">Each corresponds to a defect in Chapter 5, and each fails against the pre-correction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Test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Pins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test_count_survives_a_year_in_the_same_sentence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 sample size beside a date is not discarded (§5.5). Asserts 1099 is extracted and 2020 is not.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test_percentage_in_sentence_does_not_discard_count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 percentage elsewhere in the sentence does not suppress the count</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test_year_alone_is_not_a_population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 bare year is still never read as a population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test_observational_phrasings_are_extracted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cases, a total of, consecutive patients, screened phrasings (§5.5)</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test_doi_extraction_strips_publisher_view_segments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/full, /pdf, /abs trimmed from URL-embedded DOIs (§5.7)</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test_doi_with_legitimate_slashes_is_preserved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Trimming never damages a DOI that genuinely contains slashes</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test_export_csv_escapes_special_characters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Commas, quotes and newlines in titles do not break CSV rows (§5.8)</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test_export_edges_csv, test_export_graphml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Endpoints exist and produce parseable output</w:t>
            </w:r>
          </w:p>
        </w:tc>
      </w:tr>
      <w:tr>
        <w:trPr>
          <w:tblHeader w:val="false"/>
        </w:trP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test_start_run_rejects_pdf_path_outside_uploads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Path confinement on pdf_path</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API-key and CORS suites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Auth gating and origin restriction (§5.9)</w:t>
            </w:r>
          </w:p>
        </w:tc>
      </w:tr>
    </w:tbl>
    <w:p>
      <w:pPr>
        <w:spacing w:before="120"/>
      </w:pPr>
      <w:r>
        <w:t xml:space="preserve"/>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F.3 Defects found in the test suite itself</w:t>
      </w:r>
    </w:p>
    <w:p>
      <w:pPr>
        <w:spacing w:after="60" w:before="60" w:line="276"/>
      </w:pPr>
      <w:r>
        <w:rPr>
          <w:rFonts w:ascii="Arial" w:cs="Arial" w:eastAsia="Arial" w:hAnsi="Arial"/>
          <w:color w:val="1B2631"/>
          <w:sz w:val="22"/>
          <w:szCs w:val="22"/>
        </w:rPr>
        <w:t xml:space="preserve">Two, both recorded because a test suite is software subject to the same faults as the system it verifies.</w:t>
      </w:r>
    </w:p>
    <w:p>
      <w:pPr>
        <w:spacing w:after="60" w:before="60" w:line="276"/>
      </w:pPr>
      <w:r>
        <w:rPr>
          <w:rFonts w:ascii="Arial" w:cs="Arial" w:eastAsia="Arial" w:hAnsi="Arial"/>
          <w:color w:val="1B2631"/>
          <w:sz w:val="22"/>
          <w:szCs w:val="22"/>
        </w:rPr>
        <w:t xml:space="preserve">A hang, not a failure. test</w:t>
      </w:r>
      <w:r>
        <w:rPr>
          <w:rFonts w:ascii="Arial" w:cs="Arial" w:eastAsia="Arial" w:hAnsi="Arial"/>
          <w:color w:val="1B2631"/>
          <w:sz w:val="22"/>
          <w:szCs w:val="22"/>
        </w:rPr>
        <w:t xml:space="preserve">_</w:t>
      </w:r>
      <w:r>
        <w:rPr>
          <w:rFonts w:ascii="Arial" w:cs="Arial" w:eastAsia="Arial" w:hAnsi="Arial"/>
          <w:color w:val="1B2631"/>
          <w:sz w:val="22"/>
          <w:szCs w:val="22"/>
        </w:rPr>
        <w:t xml:space="preserve">uncooperative</w:t>
      </w:r>
      <w:r>
        <w:rPr>
          <w:rFonts w:ascii="Arial" w:cs="Arial" w:eastAsia="Arial" w:hAnsi="Arial"/>
          <w:color w:val="1B2631"/>
          <w:sz w:val="22"/>
          <w:szCs w:val="22"/>
        </w:rPr>
        <w:t xml:space="preserve">_</w:t>
      </w:r>
      <w:r>
        <w:rPr>
          <w:rFonts w:ascii="Arial" w:cs="Arial" w:eastAsia="Arial" w:hAnsi="Arial"/>
          <w:color w:val="1B2631"/>
          <w:sz w:val="22"/>
          <w:szCs w:val="22"/>
        </w:rPr>
        <w:t xml:space="preserve">task</w:t>
      </w:r>
      <w:r>
        <w:rPr>
          <w:rFonts w:ascii="Arial" w:cs="Arial" w:eastAsia="Arial" w:hAnsi="Arial"/>
          <w:color w:val="1B2631"/>
          <w:sz w:val="22"/>
          <w:szCs w:val="22"/>
        </w:rPr>
        <w:t xml:space="preserve">_</w:t>
      </w:r>
      <w:r>
        <w:rPr>
          <w:rFonts w:ascii="Arial" w:cs="Arial" w:eastAsia="Arial" w:hAnsi="Arial"/>
          <w:color w:val="1B2631"/>
          <w:sz w:val="22"/>
          <w:szCs w:val="22"/>
        </w:rPr>
        <w:t xml:space="preserve">does</w:t>
      </w:r>
      <w:r>
        <w:rPr>
          <w:rFonts w:ascii="Arial" w:cs="Arial" w:eastAsia="Arial" w:hAnsi="Arial"/>
          <w:color w:val="1B2631"/>
          <w:sz w:val="22"/>
          <w:szCs w:val="22"/>
        </w:rPr>
        <w:t xml:space="preserve">_</w:t>
      </w:r>
      <w:r>
        <w:rPr>
          <w:rFonts w:ascii="Arial" w:cs="Arial" w:eastAsia="Arial" w:hAnsi="Arial"/>
          <w:color w:val="1B2631"/>
          <w:sz w:val="22"/>
          <w:szCs w:val="22"/>
        </w:rPr>
        <w:t xml:space="preserve">not</w:t>
      </w:r>
      <w:r>
        <w:rPr>
          <w:rFonts w:ascii="Arial" w:cs="Arial" w:eastAsia="Arial" w:hAnsi="Arial"/>
          <w:color w:val="1B2631"/>
          <w:sz w:val="22"/>
          <w:szCs w:val="22"/>
        </w:rPr>
        <w:t xml:space="preserve">_</w:t>
      </w:r>
      <w:r>
        <w:rPr>
          <w:rFonts w:ascii="Arial" w:cs="Arial" w:eastAsia="Arial" w:hAnsi="Arial"/>
          <w:color w:val="1B2631"/>
          <w:sz w:val="22"/>
          <w:szCs w:val="22"/>
        </w:rPr>
        <w:t xml:space="preserve">hang</w:t>
      </w:r>
      <w:r>
        <w:rPr>
          <w:rFonts w:ascii="Arial" w:cs="Arial" w:eastAsia="Arial" w:hAnsi="Arial"/>
          <w:color w:val="1B2631"/>
          <w:sz w:val="22"/>
          <w:szCs w:val="22"/>
        </w:rPr>
        <w:t xml:space="preserve">_</w:t>
      </w:r>
      <w:r>
        <w:rPr>
          <w:rFonts w:ascii="Arial" w:cs="Arial" w:eastAsia="Arial" w:hAnsi="Arial"/>
          <w:color w:val="1B2631"/>
          <w:sz w:val="22"/>
          <w:szCs w:val="22"/>
        </w:rPr>
        <w:t xml:space="preserve">past</w:t>
      </w:r>
      <w:r>
        <w:rPr>
          <w:rFonts w:ascii="Arial" w:cs="Arial" w:eastAsia="Arial" w:hAnsi="Arial"/>
          <w:color w:val="1B2631"/>
          <w:sz w:val="22"/>
          <w:szCs w:val="22"/>
        </w:rPr>
        <w:t xml:space="preserve">_</w:t>
      </w:r>
      <w:r>
        <w:rPr>
          <w:rFonts w:ascii="Arial" w:cs="Arial" w:eastAsia="Arial" w:hAnsi="Arial"/>
          <w:color w:val="1B2631"/>
          <w:sz w:val="22"/>
          <w:szCs w:val="22"/>
        </w:rPr>
        <w:t xml:space="preserve">timeout constructed a task that suppresses CancelledError, then cleaned up with asyncio.wait</w:t>
      </w:r>
      <w:r>
        <w:rPr>
          <w:rFonts w:ascii="Arial" w:cs="Arial" w:eastAsia="Arial" w:hAnsi="Arial"/>
          <w:color w:val="1B2631"/>
          <w:sz w:val="22"/>
          <w:szCs w:val="22"/>
        </w:rPr>
        <w:t xml:space="preserve">_</w:t>
      </w:r>
      <w:r>
        <w:rPr>
          <w:rFonts w:ascii="Arial" w:cs="Arial" w:eastAsia="Arial" w:hAnsi="Arial"/>
          <w:color w:val="1B2631"/>
          <w:sz w:val="22"/>
          <w:szCs w:val="22"/>
        </w:rPr>
        <w:t xml:space="preserve">for. On timeout, wait</w:t>
      </w:r>
      <w:r>
        <w:rPr>
          <w:rFonts w:ascii="Arial" w:cs="Arial" w:eastAsia="Arial" w:hAnsi="Arial"/>
          <w:color w:val="1B2631"/>
          <w:sz w:val="22"/>
          <w:szCs w:val="22"/>
        </w:rPr>
        <w:t xml:space="preserve">_</w:t>
      </w:r>
      <w:r>
        <w:rPr>
          <w:rFonts w:ascii="Arial" w:cs="Arial" w:eastAsia="Arial" w:hAnsi="Arial"/>
          <w:color w:val="1B2631"/>
          <w:sz w:val="22"/>
          <w:szCs w:val="22"/>
        </w:rPr>
        <w:t xml:space="preserve">for cancels the task and awaits the cancellation, which never completes for a task that refuses to die. The entire pytest session hung indefinitely. The name is unintentionally accurate: the test for not hanging was the thing that hung. Resolved by giving the fake task a stop event and waiting with asyncio.wait, which always returns.</w:t>
      </w:r>
    </w:p>
    <w:p>
      <w:pPr>
        <w:spacing w:after="60" w:before="60" w:line="276"/>
      </w:pPr>
      <w:r>
        <w:rPr>
          <w:rFonts w:ascii="Arial" w:cs="Arial" w:eastAsia="Arial" w:hAnsi="Arial"/>
          <w:color w:val="1B2631"/>
          <w:sz w:val="22"/>
          <w:szCs w:val="22"/>
        </w:rPr>
        <w:t xml:space="preserve">A double that could not exercise the code path. test</w:t>
      </w:r>
      <w:r>
        <w:rPr>
          <w:rFonts w:ascii="Arial" w:cs="Arial" w:eastAsia="Arial" w:hAnsi="Arial"/>
          <w:color w:val="1B2631"/>
          <w:sz w:val="22"/>
          <w:szCs w:val="22"/>
        </w:rPr>
        <w:t xml:space="preserve">_</w:t>
      </w:r>
      <w:r>
        <w:rPr>
          <w:rFonts w:ascii="Arial" w:cs="Arial" w:eastAsia="Arial" w:hAnsi="Arial"/>
          <w:color w:val="1B2631"/>
          <w:sz w:val="22"/>
          <w:szCs w:val="22"/>
        </w:rPr>
        <w:t xml:space="preserve">get</w:t>
      </w:r>
      <w:r>
        <w:rPr>
          <w:rFonts w:ascii="Arial" w:cs="Arial" w:eastAsia="Arial" w:hAnsi="Arial"/>
          <w:color w:val="1B2631"/>
          <w:sz w:val="22"/>
          <w:szCs w:val="22"/>
        </w:rPr>
        <w:t xml:space="preserve">_</w:t>
      </w:r>
      <w:r>
        <w:rPr>
          <w:rFonts w:ascii="Arial" w:cs="Arial" w:eastAsia="Arial" w:hAnsi="Arial"/>
          <w:color w:val="1B2631"/>
          <w:sz w:val="22"/>
          <w:szCs w:val="22"/>
        </w:rPr>
        <w:t xml:space="preserve">run</w:t>
      </w:r>
      <w:r>
        <w:rPr>
          <w:rFonts w:ascii="Arial" w:cs="Arial" w:eastAsia="Arial" w:hAnsi="Arial"/>
          <w:color w:val="1B2631"/>
          <w:sz w:val="22"/>
          <w:szCs w:val="22"/>
        </w:rPr>
        <w:t xml:space="preserve">_</w:t>
      </w:r>
      <w:r>
        <w:rPr>
          <w:rFonts w:ascii="Arial" w:cs="Arial" w:eastAsia="Arial" w:hAnsi="Arial"/>
          <w:color w:val="1B2631"/>
          <w:sz w:val="22"/>
          <w:szCs w:val="22"/>
        </w:rPr>
        <w:t xml:space="preserve">also</w:t>
      </w:r>
      <w:r>
        <w:rPr>
          <w:rFonts w:ascii="Arial" w:cs="Arial" w:eastAsia="Arial" w:hAnsi="Arial"/>
          <w:color w:val="1B2631"/>
          <w:sz w:val="22"/>
          <w:szCs w:val="22"/>
        </w:rPr>
        <w:t xml:space="preserve">_</w:t>
      </w:r>
      <w:r>
        <w:rPr>
          <w:rFonts w:ascii="Arial" w:cs="Arial" w:eastAsia="Arial" w:hAnsi="Arial"/>
          <w:color w:val="1B2631"/>
          <w:sz w:val="22"/>
          <w:szCs w:val="22"/>
        </w:rPr>
        <w:t xml:space="preserve">retries</w:t>
      </w:r>
      <w:r>
        <w:rPr>
          <w:rFonts w:ascii="Arial" w:cs="Arial" w:eastAsia="Arial" w:hAnsi="Arial"/>
          <w:color w:val="1B2631"/>
          <w:sz w:val="22"/>
          <w:szCs w:val="22"/>
        </w:rPr>
        <w:t xml:space="preserve">_</w:t>
      </w:r>
      <w:r>
        <w:rPr>
          <w:rFonts w:ascii="Arial" w:cs="Arial" w:eastAsia="Arial" w:hAnsi="Arial"/>
          <w:color w:val="1B2631"/>
          <w:sz w:val="22"/>
          <w:szCs w:val="22"/>
        </w:rPr>
        <w:t xml:space="preserve"> under</w:t>
      </w:r>
      <w:r>
        <w:rPr>
          <w:rFonts w:ascii="Arial" w:cs="Arial" w:eastAsia="Arial" w:hAnsi="Arial"/>
          <w:color w:val="1B2631"/>
          <w:sz w:val="22"/>
          <w:szCs w:val="22"/>
        </w:rPr>
        <w:t xml:space="preserve">_</w:t>
      </w:r>
      <w:r>
        <w:rPr>
          <w:rFonts w:ascii="Arial" w:cs="Arial" w:eastAsia="Arial" w:hAnsi="Arial"/>
          <w:color w:val="1B2631"/>
          <w:sz w:val="22"/>
          <w:szCs w:val="22"/>
        </w:rPr>
        <w:t xml:space="preserve">lock replaced aiosqlite's execute with a bare async def. The real method is wrapped so its return value supports both await and async with; a plain coroutine supports only await. The production read path uses async with, so the test failed with a TypeError about the coroutine protocol rather than exercising the retry policy it was written to verify. Resolved by wrapping the doubles in aiosqlite's own Result.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F.4 What the suite does not establish</w:t>
      </w:r>
    </w:p>
    <w:p>
      <w:pPr>
        <w:spacing w:after="60" w:before="60" w:line="276"/>
      </w:pPr>
      <w:r>
        <w:rPr>
          <w:rFonts w:ascii="Arial" w:cs="Arial" w:eastAsia="Arial" w:hAnsi="Arial"/>
          <w:color w:val="1B2631"/>
          <w:sz w:val="22"/>
          <w:szCs w:val="22"/>
        </w:rPr>
        <w:t xml:space="preserve">Stated because Section 5.10 turns on it. Throughout the period in which the traversal was discarding roughly half of every graph, forward citations were universally empty, and every edge weight was zero, the suite passed in full.</w:t>
      </w:r>
    </w:p>
    <w:p>
      <w:pPr>
        <w:spacing w:after="60" w:before="60" w:line="276"/>
      </w:pPr>
      <w:r>
        <w:rPr>
          <w:rFonts w:ascii="Arial" w:cs="Arial" w:eastAsia="Arial" w:hAnsi="Arial"/>
          <w:color w:val="1B2631"/>
          <w:sz w:val="22"/>
          <w:szCs w:val="22"/>
        </w:rPr>
        <w:t xml:space="preserve">It did so because it asserted shape, not correctness: that a run completed, that the response carried the expected fields, that the types were right. No test asserted that the number of retrieved nodes bore any relation to the number of references the provider reported, that forward edges ever existed, or that edge weights varied between papers.</w:t>
      </w:r>
    </w:p>
    <w:p>
      <w:pPr>
        <w:spacing w:after="60" w:before="60" w:line="276"/>
      </w:pPr>
      <w:r>
        <w:rPr>
          <w:rFonts w:ascii="Arial" w:cs="Arial" w:eastAsia="Arial" w:hAnsi="Arial"/>
          <w:color w:val="1B2631"/>
          <w:sz w:val="22"/>
          <w:szCs w:val="22"/>
        </w:rPr>
        <w:t xml:space="preserve">The suite is a regression guard, not a correctness argument. Correctness for this system required measurement against independently known quantities, which is what Chapter 6 reports.</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F.5 Manual verification performed</w:t>
      </w:r>
    </w:p>
    <w:p>
      <w:pPr>
        <w:spacing w:after="60" w:before="60" w:line="276"/>
      </w:pPr>
      <w:r>
        <w:rPr>
          <w:rFonts w:ascii="Arial" w:cs="Arial" w:eastAsia="Arial" w:hAnsi="Arial"/>
          <w:color w:val="1B2631"/>
          <w:sz w:val="22"/>
          <w:szCs w:val="22"/>
        </w:rPr>
        <w:t xml:space="preserve">Checks carried out by inspection or ad-hoc measurement rather than automated tests, listed so the evidence base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Check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Method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9"/>
                <w:szCs w:val="19"/>
              </w:rPr>
              <w:t xml:space="preserve">Section</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SSRF guard blocks internal addresses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Local HTTP listener; verified zero requests received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§5.7</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Redirect pivot to internal host refused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Mocked 302 from a public host to loopback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§5.7</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Connection pooling benefit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8 sequential requests, pooled versus per-request client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§6.6.3</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Path ranking equivalence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Top-ten compared against exhaustive enumeration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§6.6.4</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Weighting ordering after correction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Synthetic resolutions across n_eff and confidence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Duplicate merging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Title-key collision check over produced graphs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§6.5</w:t>
            </w:r>
          </w:p>
        </w:tc>
      </w:tr>
      <w:tr>
        <w:trPr>
          <w:tblHeader w:val="false"/>
        </w:trP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Reference resolution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Every DOI resolved against Crossref/OpenAlex</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§6.7</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Deployment isolation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Container port confirmed bound to loopback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2631"/>
                <w:sz w:val="19"/>
                <w:szCs w:val="19"/>
              </w:rPr>
              <w:t xml:space="preserve">§5.9</w:t>
            </w:r>
          </w:p>
        </w:tc>
      </w:tr>
    </w:tbl>
    <w:p>
      <w:pPr>
        <w:spacing w:before="120"/>
      </w:pPr>
      <w:r>
        <w:t xml:space="preserve"/>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Appendix G: Selected Code Listings</w:t>
      </w:r>
    </w:p>
    <w:p>
      <w:pPr>
        <w:spacing w:after="60" w:before="60" w:line="276"/>
      </w:pPr>
      <w:r>
        <w:rPr>
          <w:rFonts w:ascii="Arial" w:cs="Arial" w:eastAsia="Arial" w:hAnsi="Arial"/>
          <w:color w:val="1B2631"/>
          <w:sz w:val="22"/>
          <w:szCs w:val="22"/>
        </w:rPr>
        <w:t xml:space="preserve">Extracts from the delivered system, chosen because each embodies a decision argued elsewhere in the thesis. Listings are lightly trimmed for width; comments are as committed.</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G.1 Per-span ignore matching (Section 5.5)</w:t>
      </w:r>
    </w:p>
    <w:p>
      <w:pPr>
        <w:spacing w:after="60" w:before="60" w:line="276"/>
      </w:pPr>
      <w:r>
        <w:rPr>
          <w:rFonts w:ascii="Arial" w:cs="Arial" w:eastAsia="Arial" w:hAnsi="Arial"/>
          <w:color w:val="1B2631"/>
          <w:sz w:val="22"/>
          <w:szCs w:val="22"/>
        </w:rPr>
        <w:t xml:space="preserve">The correction that recovered most of the extraction recall. The original evaluated ignore patterns against the whole sentence and skipped every candidate in it.</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for sentence in sentences: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Locate the spans that must not be read as population sizes (years,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percentages, p-values, dosages). These are matched per-span rather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than per-sentence: skipping the whole sentence discarded every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genuine count that merely shared a sentence with a date, which is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most of them ("...1099 patients ... through January 29, 2020").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ignore_spans =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match.span()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for ignore_p in IGNORE_PATTERNS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for match in re.finditer(ignore_p, sentence)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for pattern_info in POPULATION_PATTERNS: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for match in re.finditer(pattern_info["pattern"], sentence, re.IGNORECASE):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Only reject when the captured number itself sits inside an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ignored span, not when one appears elsewhere in the sentence.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number_start, number_end = match.span(1)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any(start &lt; number_end and number_start &lt; end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for start, end in ignore_spans):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G.2 Edge weighting (Section 5.6)</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base_weight = (self.alpha * n_score) + (self.beta * journal_score)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Confidence scales the *population evidence* only. Multiplying the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whole base weight by it collapsed every edge to exactly 0.0 for any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paper where extraction found nothing -- which is every paper outside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clinical-trial phrasing. The journal term is structural and always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applies, so an edge without population evidence keeps a small uniform</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weight instead of vanishing.</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pop_confidence = target_res.confidence if target_res else 0.5</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evidence_term = self.alpha * n_score * pop_confidence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final_weight = (evidence_term + (self.beta * journal_score)) * edge.confidence</w:t>
      </w:r>
    </w:p>
    <w:p>
      <w:pPr>
        <w:spacing w:after="60" w:before="60" w:line="276"/>
      </w:pPr>
      <w:r>
        <w:rPr>
          <w:rFonts w:ascii="Arial" w:cs="Arial" w:eastAsia="Arial" w:hAnsi="Arial"/>
          <w:color w:val="1B2631"/>
          <w:sz w:val="22"/>
          <w:szCs w:val="22"/>
        </w:rPr>
        <w:t xml:space="preserve">And the fallback in the graph builder that had concealed the defect:</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 `or 1.0` would silently rewrite a genuine 0.0 weight to 1.0,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which hid the fact that every edge was being zeroed out.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weight=edge.final_weight if edge.final_weight is not None else 1.0,</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G.3 Identity aliasing and duplicate merging (Section 4.4.2)</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def _register(self, paper: Paper) -&gt; None: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"""Store a paper and map every identifier it carries onto its paper_id."""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self.papers[paper.paper_id] = paper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self.visited.add(paper.paper_id)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for raw in (paper.paper_id, paper.doi, paper.pmid,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paper.pmcid, paper.openalex_id):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raw:</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self._aliases[IdCanonicalizer.canonicalize(raw)] = paper.paper_id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key = self.title_key(paper.title)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key: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self._title_keys.setdefault(key, paper.paper_id)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@classmethod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def title_key(cls, title: Optional[str]) -&gt; Optional[str]: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"""A comparison key for detecting the same work under two identifiers.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Sources occasionally hold two records for one article under different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DOIs -- typically the clean version and one with front matter merged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into the title ("...coronavirus infection1 1The authors thank..."). The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titles share a long prefix, so compare a normalised prefix rather than</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the whole string. Returns None for titles too short to match safely.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not title: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None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normalised = " ".join(re.sub(r"[^a-z0-9]+", " ", title.lower()).split())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len(normalised) &lt; cls.MIN_TITLE_KEY_LENGTH: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None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normalised[: cls.TITLE_KEY_PREFIX]</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G.4 Commit-time edge filtering (Section 4.4.2)</w:t>
      </w:r>
    </w:p>
    <w:p>
      <w:pPr>
        <w:spacing w:after="60" w:before="60" w:line="276"/>
      </w:pPr>
      <w:r>
        <w:rPr>
          <w:rFonts w:ascii="Arial" w:cs="Arial" w:eastAsia="Arial" w:hAnsi="Arial"/>
          <w:color w:val="1B2631"/>
          <w:sz w:val="22"/>
          <w:szCs w:val="22"/>
        </w:rPr>
        <w:t xml:space="preserve">The guarantee behind the zero-dangling-edge result in Section 6.5.</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def _commit_edges(self, raw_edges, direction) -&gt; None: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"""Rewrite edge endpoints to canonical ids and keep only resolved ones."""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dropped = 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for edge in raw_edges: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source = self._canonical(edge.source_paper_id)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target = self._canonical(edge.target_paper_id)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not source or not target or source == target: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dropped += 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key = (source, target)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key in self._edge_keys: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self._edge_keys.add(key)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edge.source_paper_id = source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edge.target_paper_id = target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edge.edge_id = f"{source}_cites_{target}"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self.edges.append(edge)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G.5 Null-safe provider mapping (Section 5.4)</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@staticmethod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def _section(data: dict[str, Any], key: str) -&gt; dict[str, Any]: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"""Fetch a nested object, treating an explicit null as an empty object.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OpenAlex returns ``"primary_location": {"source": null}`` for works with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no indexed venue (roughly half the results in some queries), and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``dict.get(key, {})`` returns None in that case because the key exists.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value = data.get(key)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value if isinstance(value, dict) else {}</w:t>
      </w:r>
    </w:p>
    <w:p>
      <w:pPr>
        <w:spacing w:after="60" w:before="60" w:line="276"/>
      </w:pPr>
      <w:r>
        <w:rPr>
          <w:rFonts w:ascii="Arial" w:cs="Arial" w:eastAsia="Arial" w:hAnsi="Arial"/>
          <w:color w:val="1B2631"/>
          <w:sz w:val="22"/>
          <w:szCs w:val="22"/>
        </w:rPr>
        <w:t xml:space="preserve">With per-record isolation so one malformed work cannot discard its batch:</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for work in data.get("results",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work_id = self.openalex_id_of(work)</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not work_id: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try: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papers[work_id] = self._map_to_paper(work)</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except Exception as 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Isolate per-record faults: one malformed work must not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discard the other 49 in the batch.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logger.warning("Skipping unmappable OpenAlex work %s: %s", work_id, e)</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G.6 SSRF guard (Section 5.7)</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@staticmethod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async def _resolves_to_public_address(url: str) -&gt; bool:</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"""True when every address the URL's host resolves to is public.</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The URL here comes straight from the API request body, so without this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check the server can be pointed at loopback, link-local (cloud metadata)</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or RFC1918 addresses and made to issue requests from inside the trust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boundary.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parsed = urlparse(url)</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parsed.scheme not in {"http", "https"} or not parsed.hostname: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port = parsed.port or (443 if parsed.scheme == "https" else 80)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try: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infos = await asyncio.get_running_loop().getaddrinfo(</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parsed.hostname, port, type=socket.SOCK_STREAM)</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except (socket.gaierror, UnicodeError, ValueError):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for info in infos: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address = ipaddress.ip_address(info[4][0])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(address.is_private or address.is_loopback or address.is_link_local</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or address.is_reserved or address.is_multicast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or address.is_unspecified):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True</w:t>
      </w:r>
    </w:p>
    <w:p>
      <w:pPr>
        <w:spacing w:after="60" w:before="60" w:line="276"/>
      </w:pPr>
      <w:r>
        <w:rPr>
          <w:rFonts w:ascii="Arial" w:cs="Arial" w:eastAsia="Arial" w:hAnsi="Arial"/>
          <w:color w:val="1B2631"/>
          <w:sz w:val="22"/>
          <w:szCs w:val="22"/>
        </w:rPr>
        <w:t xml:space="preserve">Redirects are followed manually so each hop is re-validated; a public host that redirects to an internal one is refused at the second hop.</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G.7 Bounded path enumeration (Section 4.12)</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def _iter_paths(self, seed_id: str, cutoff: int = 4):</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"""Yield every simple path leaving the seed, in a single traversal.</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Calling ``nx.all_simple_paths(seed, target)`` once per target re-walks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the entire reachable subgraph for every node in the graph, so the cost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is multiplied by the node count while producing the same set of paths.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One depth-limited DFS yields each path exactly once.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stack = [[seed_id]]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while stack:</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path = stack.pop()</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len(path) &gt; 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yield path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len(path) - 1 &gt;= cutoff:</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continue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for successor in self.graph.successors(path[-1]):</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Paths are at most cutoff+1 long, so a scan beats a set here.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successor not in path:</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stack.append(path + [successor])</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G.8 Retry policy (Section 5.4)</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RETRYABLE_STATUS_CODES = frozenset({408, 425, 429, 500, 502, 503, 504})</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def is_transient_error(exc: BaseException) -&gt; bool:</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"""True when a failed provider call is worth retrying.</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A 404 means the provider simply does not hold that record, which is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routine for Crossref and Europe PMC. Retrying it cannot change the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answer and costs the exponential-backoff budget on every miss, so only</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rate limits, server faults and transport errors are retried.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isinstance(exc, httpx.HTTPStatusError):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exc.response.status_code in RETRYABLE_STATUS_CODES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isinstance(exc, (httpx.TransportError, httpx.StreamError))</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G.9 Pooled HTTP client (Section 6.6.3)</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 One pooled client for every outbound provider call. Creating a client per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request (the previous `async with httpx.AsyncClient(...)` in each _get)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meant a fresh TCP and TLS handshake every time: measured at ~634 ms of</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pure overhead per request, 58% of the time each call took.</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_shared_client: Optional[httpx.AsyncClient] = None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_client_lock = asyncio.Lock()</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HTTP_LIMITS = httpx.Limits(max_connections=20, max_keepalive_connections=10)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HTTP_TIMEOUT = httpx.Timeout(20.0, connect=10.0)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async def get_shared_client() -&gt; httpx.AsyncClient: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global _shared_client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_shared_client is None or _shared_client.is_closed: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async with _client_lock:</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_shared_client is None or _shared_client.is_closed:</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_shared_client = httpx.AsyncClient(</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timeout=HTTP_TIMEOUT, limits=HTTP_LIMITS)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_shared_client</w:t>
      </w:r>
    </w:p>
    <w:p>
      <w:pPr>
        <w:pStyle w:val="Heading2"/>
        <w:keepNext/>
        <w:pBdr>
          <w:bottom w:val="single" w:color="2E75B6" w:sz="3" w:space="4"/>
        </w:pBdr>
        <w:spacing w:after="120" w:before="240"/>
      </w:pPr>
      <w:r>
        <w:rPr>
          <w:rFonts w:ascii="Arial" w:cs="Arial" w:eastAsia="Arial" w:hAnsi="Arial"/>
          <w:b w:val="false"/>
          <w:bCs w:val="false"/>
          <w:color w:val="2E75B6"/>
          <w:sz w:val="26"/>
          <w:szCs w:val="26"/>
        </w:rPr>
        <w:t xml:space="preserve">G.10 Evaluation metric definitions (Section 3.5.3)</w:t>
      </w:r>
    </w:p>
    <w:p>
      <w:pPr>
        <w:pBdr>
          <w:top w:val="single" w:color="3E4451" w:sz="1"/>
          <w:left w:val="single" w:color="528BFF" w:sz="10"/>
          <w:right w:val="single" w:color="3E4451" w:sz="1"/>
        </w:pBdr>
        <w:shd w:fill="21252B" w:val="clear"/>
        <w:spacing w:after="0" w:before="120"/>
        <w:ind w:left="360"/>
      </w:pPr>
      <w:r>
        <w:rPr>
          <w:rFonts w:ascii="Courier New" w:cs="Courier New" w:eastAsia="Courier New" w:hAnsi="Courier New"/>
          <w:b/>
          <w:bCs/>
          <w:color w:val="97A1B5"/>
          <w:sz w:val="16"/>
          <w:szCs w:val="16"/>
        </w:rPr>
        <w:t xml:space="preserve">PYTHON</w:t>
      </w:r>
    </w:p>
    <w:p>
      <w:pPr>
        <w:pBdr>
          <w:left w:val="single" w:color="528BFF" w:sz="10"/>
        </w:pBdr>
        <w:shd w:fill="282C34" w:val="clear"/>
        <w:spacing w:after="60" w:before="0" w:line="220"/>
        <w:ind w:left="360"/>
      </w:pPr>
      <w:r>
        <w:rPr>
          <w:rFonts w:ascii="Courier New" w:cs="Courier New" w:eastAsia="Courier New" w:hAnsi="Courier New"/>
          <w:color w:val="E3E6EB"/>
          <w:sz w:val="18"/>
          <w:szCs w:val="18"/>
        </w:rPr>
        <w:t xml:space="preserve">def wilson_interval(successes: int, trials: int, z: float = 1.96):</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"""95% Wilson score interval.</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Reported instead of a bare proportion because the gold set is small; a</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normal approximation is unreliable at n=20 and degenerates at 0% or 100%.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if trials == 0:</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None</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p = successes / trials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denominator = 1 + z * z / trials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centre = (p + z * z / (2 * trials)) / denominator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margin = z * ((p * (1 - p) / trials</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 z * z / (4 * trials * trials)) ** 0.5) / denominator</w:t>
      </w:r>
      <w:r>
        <w:rPr>
          <w:rFonts w:ascii="Courier New" w:cs="Courier New" w:eastAsia="Courier New" w:hAnsi="Courier New"/>
          <w:sz w:val="18"/>
          <w:szCs w:val="18"/>
        </w:rPr>
        <w:br/>
        <w:t xml:space="preserve"/>
      </w:r>
      <w:r>
        <w:rPr>
          <w:rFonts w:ascii="Courier New" w:cs="Courier New" w:eastAsia="Courier New" w:hAnsi="Courier New"/>
          <w:color w:val="E3E6EB"/>
          <w:sz w:val="18"/>
          <w:szCs w:val="18"/>
        </w:rPr>
        <w:t xml:space="preserve">    return (max(0.0, centre - margin), min(1.0, centre + margin))</w:t>
      </w:r>
    </w:p>
    <w:p>
      <w:pPr>
        <w:pBdr>
          <w:bottom w:val="single" w:color="CCCCCC" w:sz="4" w:space="1"/>
        </w:pBdr>
        <w:spacing w:after="160" w:before="160"/>
      </w:pPr>
      <w:r>
        <w:t xml:space="preserve"/>
      </w:r>
    </w:p>
    <w:p>
      <w:pPr>
        <w:spacing w:after="60" w:before="60" w:line="276"/>
      </w:pPr>
      <w:r>
        <w:rPr>
          <w:rFonts w:ascii="Arial" w:cs="Arial" w:eastAsia="Arial" w:hAnsi="Arial"/>
          <w:color w:val="1B2631"/>
          <w:sz w:val="22"/>
          <w:szCs w:val="22"/>
        </w:rPr>
        <w:t xml:space="preserve">\newpage</w:t>
      </w:r>
    </w:p>
    <w:p>
      <w:pPr>
        <w:pStyle w:val="Heading1"/>
        <w:keepNext/>
        <w:pBdr>
          <w:bottom w:val="single" w:color="2E75B6" w:sz="6" w:space="4"/>
        </w:pBdr>
        <w:spacing w:after="120" w:before="360"/>
      </w:pPr>
      <w:r>
        <w:rPr>
          <w:rFonts w:ascii="Arial" w:cs="Arial" w:eastAsia="Arial" w:hAnsi="Arial"/>
          <w:b/>
          <w:bCs/>
          <w:color w:val="1F4E79"/>
          <w:sz w:val="32"/>
          <w:szCs w:val="32"/>
        </w:rPr>
        <w:t xml:space="preserve">References</w:t>
      </w:r>
    </w:p>
    <w:p>
      <w:pPr>
        <w:spacing w:after="60" w:before="60" w:line="276"/>
      </w:pPr>
      <w:r>
        <w:rPr>
          <w:rFonts w:ascii="Arial" w:cs="Arial" w:eastAsia="Arial" w:hAnsi="Arial"/>
          <w:color w:val="1B2631"/>
          <w:sz w:val="22"/>
          <w:szCs w:val="22"/>
        </w:rPr>
        <w:t xml:space="preserve">Every entry below was resolved against Crossref (with OpenAlex as a fallback) by scripts/verify</w:t>
      </w:r>
      <w:r>
        <w:rPr>
          <w:rFonts w:ascii="Arial" w:cs="Arial" w:eastAsia="Arial" w:hAnsi="Arial"/>
          <w:color w:val="1B2631"/>
          <w:sz w:val="22"/>
          <w:szCs w:val="22"/>
        </w:rPr>
        <w:t xml:space="preserve">_</w:t>
      </w:r>
      <w:r>
        <w:rPr>
          <w:rFonts w:ascii="Arial" w:cs="Arial" w:eastAsia="Arial" w:hAnsi="Arial"/>
          <w:color w:val="1B2631"/>
          <w:sz w:val="22"/>
          <w:szCs w:val="22"/>
        </w:rPr>
        <w:t xml:space="preserve">references.py before being cited. Entries that failed to resolve were removed rather than cited from memory; see Section 6.7 for the three identifiers this process corrected.</w:t>
      </w:r>
    </w:p>
    <w:p>
      <w:pPr>
        <w:spacing w:after="60" w:before="60" w:line="276"/>
      </w:pPr>
      <w:r>
        <w:rPr>
          <w:rFonts w:ascii="Arial" w:cs="Arial" w:eastAsia="Arial" w:hAnsi="Arial"/>
          <w:color w:val="1B2631"/>
          <w:sz w:val="22"/>
          <w:szCs w:val="22"/>
        </w:rPr>
        <w:t xml:space="preserve">All 29 entries resolve as of the verification run.</w:t>
      </w:r>
    </w:p>
    <w:p>
      <w:pPr>
        <w:spacing w:after="60" w:before="60" w:line="276"/>
      </w:pPr>
      <w:r>
        <w:rPr>
          <w:rFonts w:ascii="Arial" w:cs="Arial" w:eastAsia="Arial" w:hAnsi="Arial"/>
          <w:color w:val="1B2631"/>
          <w:sz w:val="22"/>
          <w:szCs w:val="22"/>
        </w:rPr>
        <w:t xml:space="preserve">[1] beltagy2019scibert. Iz Beltagy, Kyle Lo, and Arman Cohan. "SciBERT: A Pretrained Language Model for Scientific Text." Proceedings of the 2019 Conference on Empirical Methods in Natural Language Processing and the 9th International Joint Conference on Natural Language Processing (EMNLP-IJCNLP), 2019. DOI: 10.18653/v1/D19-1371 (</w:t>
      </w:r>
      <w:hyperlink w:history="1" r:id="rIdoubzhsdnm1jmho829ymxo">
        <w:r>
          <w:rPr>
            <w:rFonts w:ascii="Arial" w:cs="Arial" w:eastAsia="Arial" w:hAnsi="Arial"/>
            <w:color w:val="1155CC"/>
            <w:sz w:val="22"/>
            <w:szCs w:val="22"/>
            <w:u w:val="single"/>
          </w:rPr>
          <w:t xml:space="preserve">https://doi.org/10.18653/v1/D19-1371</w:t>
        </w:r>
      </w:hyperlink>
      <w:r>
        <w:rPr>
          <w:rFonts w:ascii="Arial" w:cs="Arial" w:eastAsia="Arial" w:hAnsi="Arial"/>
          <w:color w:val="1B2631"/>
          <w:sz w:val="22"/>
          <w:szCs w:val="22"/>
        </w:rPr>
        <w:t xml:space="preserve">) &lt;br/&gt;Cited for: SciBERT</w:t>
      </w:r>
    </w:p>
    <w:p>
      <w:pPr>
        <w:spacing w:after="60" w:before="60" w:line="276"/>
      </w:pPr>
      <w:r>
        <w:rPr>
          <w:rFonts w:ascii="Arial" w:cs="Arial" w:eastAsia="Arial" w:hAnsi="Arial"/>
          <w:color w:val="1B2631"/>
          <w:sz w:val="22"/>
          <w:szCs w:val="22"/>
        </w:rPr>
        <w:t xml:space="preserve">[2] brin1998anatomy. Sergey Brin, and Lawrence Page. "The anatomy of a large-scale hypertextual Web search engine." Computer Networks and ISDN Systems, 1998. DOI: 10.1016/S0169-7552(98)00110-X (</w:t>
      </w:r>
      <w:hyperlink w:history="1" r:id="rIdprfm4nw7xblfui3pm6z74">
        <w:r>
          <w:rPr>
            <w:rFonts w:ascii="Arial" w:cs="Arial" w:eastAsia="Arial" w:hAnsi="Arial"/>
            <w:color w:val="1155CC"/>
            <w:sz w:val="22"/>
            <w:szCs w:val="22"/>
            <w:u w:val="single"/>
          </w:rPr>
          <w:t xml:space="preserve">https://doi.org/10.1016/S0169-7552</w:t>
        </w:r>
      </w:hyperlink>
      <w:r>
        <w:rPr>
          <w:rFonts w:ascii="Arial" w:cs="Arial" w:eastAsia="Arial" w:hAnsi="Arial"/>
          <w:color w:val="1B2631"/>
          <w:sz w:val="22"/>
          <w:szCs w:val="22"/>
        </w:rPr>
        <w:t xml:space="preserve">(98)00110-X) &lt;br/&gt;Cited for: Anatomy of a large-scale hypertextual search engine</w:t>
      </w:r>
    </w:p>
    <w:p>
      <w:pPr>
        <w:spacing w:after="60" w:before="60" w:line="276"/>
      </w:pPr>
      <w:r>
        <w:rPr>
          <w:rFonts w:ascii="Arial" w:cs="Arial" w:eastAsia="Arial" w:hAnsi="Arial"/>
          <w:color w:val="1B2631"/>
          <w:sz w:val="22"/>
          <w:szCs w:val="22"/>
        </w:rPr>
        <w:t xml:space="preserve">[3] button2013power. Katherine S. Button et al.. "Power failure: why small sample size undermines the reliability of neuroscience." Nature Reviews Neuroscience, 2013. DOI: 10.1038/nrn3475 (</w:t>
      </w:r>
      <w:hyperlink w:history="1" r:id="rIduwknchdlvocn7uls-rcjq">
        <w:r>
          <w:rPr>
            <w:rFonts w:ascii="Arial" w:cs="Arial" w:eastAsia="Arial" w:hAnsi="Arial"/>
            <w:color w:val="1155CC"/>
            <w:sz w:val="22"/>
            <w:szCs w:val="22"/>
            <w:u w:val="single"/>
          </w:rPr>
          <w:t xml:space="preserve">https://doi.org/10.1038/nrn3475</w:t>
        </w:r>
      </w:hyperlink>
      <w:r>
        <w:rPr>
          <w:rFonts w:ascii="Arial" w:cs="Arial" w:eastAsia="Arial" w:hAnsi="Arial"/>
          <w:color w:val="1B2631"/>
          <w:sz w:val="22"/>
          <w:szCs w:val="22"/>
        </w:rPr>
        <w:t xml:space="preserve">) &lt;br/&gt;Cited for: Small sample size undermines reliability</w:t>
      </w:r>
    </w:p>
    <w:p>
      <w:pPr>
        <w:spacing w:after="60" w:before="60" w:line="276"/>
      </w:pPr>
      <w:r>
        <w:rPr>
          <w:rFonts w:ascii="Arial" w:cs="Arial" w:eastAsia="Arial" w:hAnsi="Arial"/>
          <w:color w:val="1B2631"/>
          <w:sz w:val="22"/>
          <w:szCs w:val="22"/>
        </w:rPr>
        <w:t xml:space="preserve">[4] chen2007cocitation. Chaomei Chen. "CiteSpace II: Detecting and visualizing emerging trends and transient patterns in scientific literature." Journal of the American Society for Information Science and Technology, 2005. DOI: 10.1002/asi.20317 (</w:t>
      </w:r>
      <w:hyperlink w:history="1" r:id="rIdze45vpftoseksxjvno4n8">
        <w:r>
          <w:rPr>
            <w:rFonts w:ascii="Arial" w:cs="Arial" w:eastAsia="Arial" w:hAnsi="Arial"/>
            <w:color w:val="1155CC"/>
            <w:sz w:val="22"/>
            <w:szCs w:val="22"/>
            <w:u w:val="single"/>
          </w:rPr>
          <w:t xml:space="preserve">https://doi.org/10.1002/asi.20317</w:t>
        </w:r>
      </w:hyperlink>
      <w:r>
        <w:rPr>
          <w:rFonts w:ascii="Arial" w:cs="Arial" w:eastAsia="Arial" w:hAnsi="Arial"/>
          <w:color w:val="1B2631"/>
          <w:sz w:val="22"/>
          <w:szCs w:val="22"/>
        </w:rPr>
        <w:t xml:space="preserve">) &lt;br/&gt;Cited for: CiteSpace / co-citation visual analytics</w:t>
      </w:r>
    </w:p>
    <w:p>
      <w:pPr>
        <w:spacing w:after="60" w:before="60" w:line="276"/>
      </w:pPr>
      <w:r>
        <w:rPr>
          <w:rFonts w:ascii="Arial" w:cs="Arial" w:eastAsia="Arial" w:hAnsi="Arial"/>
          <w:color w:val="1B2631"/>
          <w:sz w:val="22"/>
          <w:szCs w:val="22"/>
        </w:rPr>
        <w:t xml:space="preserve">[5] chen2007gems. P. Chen, H. Xie, S. Maslov, and S. Redner. "Finding scientific gems with Google’s PageRank algorithm." Journal of Informetrics, 2007. DOI: 10.1016/j.joi.2006.06.001 (</w:t>
      </w:r>
      <w:hyperlink w:history="1" r:id="rIdw5snt3sexxl4ipukytrc8">
        <w:r>
          <w:rPr>
            <w:rFonts w:ascii="Arial" w:cs="Arial" w:eastAsia="Arial" w:hAnsi="Arial"/>
            <w:color w:val="1155CC"/>
            <w:sz w:val="22"/>
            <w:szCs w:val="22"/>
            <w:u w:val="single"/>
          </w:rPr>
          <w:t xml:space="preserve">https://doi.org/10.1016/j.joi.2006.06.001</w:t>
        </w:r>
      </w:hyperlink>
      <w:r>
        <w:rPr>
          <w:rFonts w:ascii="Arial" w:cs="Arial" w:eastAsia="Arial" w:hAnsi="Arial"/>
          <w:color w:val="1B2631"/>
          <w:sz w:val="22"/>
          <w:szCs w:val="22"/>
        </w:rPr>
        <w:t xml:space="preserve">) &lt;br/&gt;Cited for: Finding scientific gems with PageRank on a citation network</w:t>
      </w:r>
    </w:p>
    <w:p>
      <w:pPr>
        <w:spacing w:after="60" w:before="60" w:line="276"/>
      </w:pPr>
      <w:r>
        <w:rPr>
          <w:rFonts w:ascii="Arial" w:cs="Arial" w:eastAsia="Arial" w:hAnsi="Arial"/>
          <w:color w:val="1B2631"/>
          <w:sz w:val="22"/>
          <w:szCs w:val="22"/>
        </w:rPr>
        <w:t xml:space="preserve">[6] europepmc2015. Anon.. "Europe PMC: a full-text literature database for the life sciences and platform for innovation." Nucleic Acids Research, 2014. DOI: 10.1093/nar/gku1061 (</w:t>
      </w:r>
      <w:hyperlink w:history="1" r:id="rIdbjw3_haufy6obmsgdhraf">
        <w:r>
          <w:rPr>
            <w:rFonts w:ascii="Arial" w:cs="Arial" w:eastAsia="Arial" w:hAnsi="Arial"/>
            <w:color w:val="1155CC"/>
            <w:sz w:val="22"/>
            <w:szCs w:val="22"/>
            <w:u w:val="single"/>
          </w:rPr>
          <w:t xml:space="preserve">https://doi.org/10.1093/nar/gku1061</w:t>
        </w:r>
      </w:hyperlink>
      <w:r>
        <w:rPr>
          <w:rFonts w:ascii="Arial" w:cs="Arial" w:eastAsia="Arial" w:hAnsi="Arial"/>
          <w:color w:val="1B2631"/>
          <w:sz w:val="22"/>
          <w:szCs w:val="22"/>
        </w:rPr>
        <w:t xml:space="preserve">) &lt;br/&gt;Cited for: Europe PMC full-text literature database</w:t>
      </w:r>
    </w:p>
    <w:p>
      <w:pPr>
        <w:spacing w:after="60" w:before="60" w:line="276"/>
      </w:pPr>
      <w:r>
        <w:rPr>
          <w:rFonts w:ascii="Arial" w:cs="Arial" w:eastAsia="Arial" w:hAnsi="Arial"/>
          <w:color w:val="1B2631"/>
          <w:sz w:val="22"/>
          <w:szCs w:val="22"/>
        </w:rPr>
        <w:t xml:space="preserve">[7] garfield1955. Eugene Garfield. "Citation Indexes for Science." Science, 1955. DOI: 10.1126/science.122.3159.108 (</w:t>
      </w:r>
      <w:hyperlink w:history="1" r:id="rIdxd6zwhvgumgbmqdidwwaq">
        <w:r>
          <w:rPr>
            <w:rFonts w:ascii="Arial" w:cs="Arial" w:eastAsia="Arial" w:hAnsi="Arial"/>
            <w:color w:val="1155CC"/>
            <w:sz w:val="22"/>
            <w:szCs w:val="22"/>
            <w:u w:val="single"/>
          </w:rPr>
          <w:t xml:space="preserve">https://doi.org/10.1126/science.122.3159.108</w:t>
        </w:r>
      </w:hyperlink>
      <w:r>
        <w:rPr>
          <w:rFonts w:ascii="Arial" w:cs="Arial" w:eastAsia="Arial" w:hAnsi="Arial"/>
          <w:color w:val="1B2631"/>
          <w:sz w:val="22"/>
          <w:szCs w:val="22"/>
        </w:rPr>
        <w:t xml:space="preserve">) &lt;br/&gt;Cited for: Citation indexing as a tool for science</w:t>
      </w:r>
    </w:p>
    <w:p>
      <w:pPr>
        <w:spacing w:after="60" w:before="60" w:line="276"/>
      </w:pPr>
      <w:r>
        <w:rPr>
          <w:rFonts w:ascii="Arial" w:cs="Arial" w:eastAsia="Arial" w:hAnsi="Arial"/>
          <w:color w:val="1B2631"/>
          <w:sz w:val="22"/>
          <w:szCs w:val="22"/>
        </w:rPr>
        <w:t xml:space="preserve">[8] hagberg2008networkx. Aric A. Hagberg, Daniel A. Schult, and Pieter J. Swart. "Exploring Network Structure, Dynamics, and Function using NetworkX." Proceedings of the Python in Science Conference, 2008. DOI: 10.25080/TCWV9851 (</w:t>
      </w:r>
      <w:hyperlink w:history="1" r:id="rIdyat7yrxsbotpffxlnyl8z">
        <w:r>
          <w:rPr>
            <w:rFonts w:ascii="Arial" w:cs="Arial" w:eastAsia="Arial" w:hAnsi="Arial"/>
            <w:color w:val="1155CC"/>
            <w:sz w:val="22"/>
            <w:szCs w:val="22"/>
            <w:u w:val="single"/>
          </w:rPr>
          <w:t xml:space="preserve">https://doi.org/10.25080/TCWV9851</w:t>
        </w:r>
      </w:hyperlink>
      <w:r>
        <w:rPr>
          <w:rFonts w:ascii="Arial" w:cs="Arial" w:eastAsia="Arial" w:hAnsi="Arial"/>
          <w:color w:val="1B2631"/>
          <w:sz w:val="22"/>
          <w:szCs w:val="22"/>
        </w:rPr>
        <w:t xml:space="preserve">) &lt;br/&gt;Cited for: NetworkX</w:t>
      </w:r>
    </w:p>
    <w:p>
      <w:pPr>
        <w:spacing w:after="60" w:before="60" w:line="276"/>
      </w:pPr>
      <w:r>
        <w:rPr>
          <w:rFonts w:ascii="Arial" w:cs="Arial" w:eastAsia="Arial" w:hAnsi="Arial"/>
          <w:color w:val="1B2631"/>
          <w:sz w:val="22"/>
          <w:szCs w:val="22"/>
        </w:rPr>
        <w:t xml:space="preserve">[9] hendricks2020crossref. Ginny Hendricks, Dominika Tkaczyk, Jennifer Lin, and Patricia Feeney. "Crossref: The sustainable source of community-owned scholarly metadata." Quantitative Science Studies, 2020. DOI: 10.1162/qss</w:t>
      </w:r>
      <w:r>
        <w:rPr>
          <w:rFonts w:ascii="Arial" w:cs="Arial" w:eastAsia="Arial" w:hAnsi="Arial"/>
          <w:color w:val="1B2631"/>
          <w:sz w:val="22"/>
          <w:szCs w:val="22"/>
        </w:rPr>
        <w:t xml:space="preserve">_</w:t>
      </w:r>
      <w:r>
        <w:rPr>
          <w:rFonts w:ascii="Arial" w:cs="Arial" w:eastAsia="Arial" w:hAnsi="Arial"/>
          <w:color w:val="1B2631"/>
          <w:sz w:val="22"/>
          <w:szCs w:val="22"/>
        </w:rPr>
        <w:t xml:space="preserve">a</w:t>
      </w:r>
      <w:r>
        <w:rPr>
          <w:rFonts w:ascii="Arial" w:cs="Arial" w:eastAsia="Arial" w:hAnsi="Arial"/>
          <w:color w:val="1B2631"/>
          <w:sz w:val="22"/>
          <w:szCs w:val="22"/>
        </w:rPr>
        <w:t xml:space="preserve">_</w:t>
      </w:r>
      <w:r>
        <w:rPr>
          <w:rFonts w:ascii="Arial" w:cs="Arial" w:eastAsia="Arial" w:hAnsi="Arial"/>
          <w:color w:val="1B2631"/>
          <w:sz w:val="22"/>
          <w:szCs w:val="22"/>
        </w:rPr>
        <w:t xml:space="preserve">00022 (</w:t>
      </w:r>
      <w:hyperlink w:history="1" r:id="rIdc6213sqlvwyoux5bk5qnw">
        <w:r>
          <w:rPr>
            <w:rFonts w:ascii="Arial" w:cs="Arial" w:eastAsia="Arial" w:hAnsi="Arial"/>
            <w:color w:val="1155CC"/>
            <w:sz w:val="22"/>
            <w:szCs w:val="22"/>
            <w:u w:val="single"/>
          </w:rPr>
          <w:t xml:space="preserve">https://doi.org/10.1162/qss_a_00022</w:t>
        </w:r>
      </w:hyperlink>
      <w:r>
        <w:rPr>
          <w:rFonts w:ascii="Arial" w:cs="Arial" w:eastAsia="Arial" w:hAnsi="Arial"/>
          <w:color w:val="1B2631"/>
          <w:sz w:val="22"/>
          <w:szCs w:val="22"/>
        </w:rPr>
        <w:t xml:space="preserve">) &lt;br/&gt;Cited for: Crossref as scholarly infrastructure</w:t>
      </w:r>
    </w:p>
    <w:p>
      <w:pPr>
        <w:spacing w:after="60" w:before="60" w:line="276"/>
      </w:pPr>
      <w:r>
        <w:rPr>
          <w:rFonts w:ascii="Arial" w:cs="Arial" w:eastAsia="Arial" w:hAnsi="Arial"/>
          <w:color w:val="1B2631"/>
          <w:sz w:val="22"/>
          <w:szCs w:val="22"/>
        </w:rPr>
        <w:t xml:space="preserve">[10] higgins2011cochrane. J. P. T. Higgins et al.. "The Cochrane Collaboration's tool for assessing risk of bias in randomised trials." BMJ, 2011. DOI: 10.1136/bmj.d5928 (</w:t>
      </w:r>
      <w:hyperlink w:history="1" r:id="rIdbwefj2o5v4u93li9bw2kx">
        <w:r>
          <w:rPr>
            <w:rFonts w:ascii="Arial" w:cs="Arial" w:eastAsia="Arial" w:hAnsi="Arial"/>
            <w:color w:val="1155CC"/>
            <w:sz w:val="22"/>
            <w:szCs w:val="22"/>
            <w:u w:val="single"/>
          </w:rPr>
          <w:t xml:space="preserve">https://doi.org/10.1136/bmj.d5928</w:t>
        </w:r>
      </w:hyperlink>
      <w:r>
        <w:rPr>
          <w:rFonts w:ascii="Arial" w:cs="Arial" w:eastAsia="Arial" w:hAnsi="Arial"/>
          <w:color w:val="1B2631"/>
          <w:sz w:val="22"/>
          <w:szCs w:val="22"/>
        </w:rPr>
        <w:t xml:space="preserve">) &lt;br/&gt;Cited for: Cochrane risk of bias tool</w:t>
      </w:r>
    </w:p>
    <w:p>
      <w:pPr>
        <w:spacing w:after="60" w:before="60" w:line="276"/>
      </w:pPr>
      <w:r>
        <w:rPr>
          <w:rFonts w:ascii="Arial" w:cs="Arial" w:eastAsia="Arial" w:hAnsi="Arial"/>
          <w:color w:val="1B2631"/>
          <w:sz w:val="22"/>
          <w:szCs w:val="22"/>
        </w:rPr>
        <w:t xml:space="preserve">[11] hirsch2005hindex. J. E. Hirsch. "An index to quantify an individual's scientific research output." Proceedings of the National Academy of Sciences, 2005. DOI: 10.1073/pnas.0507655102 (</w:t>
      </w:r>
      <w:hyperlink w:history="1" r:id="rIdv8i9y6cey3olkctrqdvyc">
        <w:r>
          <w:rPr>
            <w:rFonts w:ascii="Arial" w:cs="Arial" w:eastAsia="Arial" w:hAnsi="Arial"/>
            <w:color w:val="1155CC"/>
            <w:sz w:val="22"/>
            <w:szCs w:val="22"/>
            <w:u w:val="single"/>
          </w:rPr>
          <w:t xml:space="preserve">https://doi.org/10.1073/pnas.0507655102</w:t>
        </w:r>
      </w:hyperlink>
      <w:r>
        <w:rPr>
          <w:rFonts w:ascii="Arial" w:cs="Arial" w:eastAsia="Arial" w:hAnsi="Arial"/>
          <w:color w:val="1B2631"/>
          <w:sz w:val="22"/>
          <w:szCs w:val="22"/>
        </w:rPr>
        <w:t xml:space="preserve">) &lt;br/&gt;Cited for: h-index</w:t>
      </w:r>
    </w:p>
    <w:p>
      <w:pPr>
        <w:spacing w:after="60" w:before="60" w:line="276"/>
      </w:pPr>
      <w:r>
        <w:rPr>
          <w:rFonts w:ascii="Arial" w:cs="Arial" w:eastAsia="Arial" w:hAnsi="Arial"/>
          <w:color w:val="1B2631"/>
          <w:sz w:val="22"/>
          <w:szCs w:val="22"/>
        </w:rPr>
        <w:t xml:space="preserve">[12] ioannidis2005why. John P. A. Ioannidis. "Why Most Published Research Findings Are False." PLoS Medicine, 2005. DOI: 10.1371/journal.pmed.0020124 (</w:t>
      </w:r>
      <w:hyperlink w:history="1" r:id="rIdbnmpqrvhhvohsck5h2buy">
        <w:r>
          <w:rPr>
            <w:rFonts w:ascii="Arial" w:cs="Arial" w:eastAsia="Arial" w:hAnsi="Arial"/>
            <w:color w:val="1155CC"/>
            <w:sz w:val="22"/>
            <w:szCs w:val="22"/>
            <w:u w:val="single"/>
          </w:rPr>
          <w:t xml:space="preserve">https://doi.org/10.1371/journal.pmed.0020124</w:t>
        </w:r>
      </w:hyperlink>
      <w:r>
        <w:rPr>
          <w:rFonts w:ascii="Arial" w:cs="Arial" w:eastAsia="Arial" w:hAnsi="Arial"/>
          <w:color w:val="1B2631"/>
          <w:sz w:val="22"/>
          <w:szCs w:val="22"/>
        </w:rPr>
        <w:t xml:space="preserve">) &lt;br/&gt;Cited for: Why most published research findings are false</w:t>
      </w:r>
    </w:p>
    <w:p>
      <w:pPr>
        <w:spacing w:after="60" w:before="60" w:line="276"/>
      </w:pPr>
      <w:r>
        <w:rPr>
          <w:rFonts w:ascii="Arial" w:cs="Arial" w:eastAsia="Arial" w:hAnsi="Arial"/>
          <w:color w:val="1B2631"/>
          <w:sz w:val="22"/>
          <w:szCs w:val="22"/>
        </w:rPr>
        <w:t xml:space="preserve">[13] jin2018pico. Di Jin, and Peter Szolovits. "PICO Element Detection in Medical Text via Long Short-Term Memory Neural Networks." Proceedings of the BioNLP 2018 workshop, 2018. DOI: 10.18653/v1/W18-2308 (</w:t>
      </w:r>
      <w:hyperlink w:history="1" r:id="rId4t96azsvclixxmtq664jx">
        <w:r>
          <w:rPr>
            <w:rFonts w:ascii="Arial" w:cs="Arial" w:eastAsia="Arial" w:hAnsi="Arial"/>
            <w:color w:val="1155CC"/>
            <w:sz w:val="22"/>
            <w:szCs w:val="22"/>
            <w:u w:val="single"/>
          </w:rPr>
          <w:t xml:space="preserve">https://doi.org/10.18653/v1/W18-2308</w:t>
        </w:r>
      </w:hyperlink>
      <w:r>
        <w:rPr>
          <w:rFonts w:ascii="Arial" w:cs="Arial" w:eastAsia="Arial" w:hAnsi="Arial"/>
          <w:color w:val="1B2631"/>
          <w:sz w:val="22"/>
          <w:szCs w:val="22"/>
        </w:rPr>
        <w:t xml:space="preserve">) &lt;br/&gt;Cited for: PICO element detection</w:t>
      </w:r>
    </w:p>
    <w:p>
      <w:pPr>
        <w:spacing w:after="60" w:before="60" w:line="276"/>
      </w:pPr>
      <w:r>
        <w:rPr>
          <w:rFonts w:ascii="Arial" w:cs="Arial" w:eastAsia="Arial" w:hAnsi="Arial"/>
          <w:color w:val="1B2631"/>
          <w:sz w:val="22"/>
          <w:szCs w:val="22"/>
        </w:rPr>
        <w:t xml:space="preserve">[14] kim2003genia. J.-D. Kim, T. Ohta, Y. Tateisi, and J. Tsujii. "GENIA corpus—a semantically annotated corpus for bio-textmining." Bioinformatics, 2003. DOI: 10.1093/bioinformatics/btg1023 (</w:t>
      </w:r>
      <w:hyperlink w:history="1" r:id="rIdvgnsjpztdb1qmscag0ahy">
        <w:r>
          <w:rPr>
            <w:rFonts w:ascii="Arial" w:cs="Arial" w:eastAsia="Arial" w:hAnsi="Arial"/>
            <w:color w:val="1155CC"/>
            <w:sz w:val="22"/>
            <w:szCs w:val="22"/>
            <w:u w:val="single"/>
          </w:rPr>
          <w:t xml:space="preserve">https://doi.org/10.1093/bioinformatics/btg1023</w:t>
        </w:r>
      </w:hyperlink>
      <w:r>
        <w:rPr>
          <w:rFonts w:ascii="Arial" w:cs="Arial" w:eastAsia="Arial" w:hAnsi="Arial"/>
          <w:color w:val="1B2631"/>
          <w:sz w:val="22"/>
          <w:szCs w:val="22"/>
        </w:rPr>
        <w:t xml:space="preserve">) &lt;br/&gt;Cited for: GENIA corpus for biomedical IE</w:t>
      </w:r>
    </w:p>
    <w:p>
      <w:pPr>
        <w:spacing w:after="60" w:before="60" w:line="276"/>
      </w:pPr>
      <w:r>
        <w:rPr>
          <w:rFonts w:ascii="Arial" w:cs="Arial" w:eastAsia="Arial" w:hAnsi="Arial"/>
          <w:color w:val="1B2631"/>
          <w:sz w:val="22"/>
          <w:szCs w:val="22"/>
        </w:rPr>
        <w:t xml:space="preserve">[15] lee2020biobert. Jinhyuk Lee et al.. "BioBERT: a pre-trained biomedical language representation model for biomedical text mining." Bioinformatics, 2019. DOI: 10.1093/bioinformatics/btz682 (</w:t>
      </w:r>
      <w:hyperlink w:history="1" r:id="rId_0inguv8kewjlaggs25ro">
        <w:r>
          <w:rPr>
            <w:rFonts w:ascii="Arial" w:cs="Arial" w:eastAsia="Arial" w:hAnsi="Arial"/>
            <w:color w:val="1155CC"/>
            <w:sz w:val="22"/>
            <w:szCs w:val="22"/>
            <w:u w:val="single"/>
          </w:rPr>
          <w:t xml:space="preserve">https://doi.org/10.1093/bioinformatics/btz682</w:t>
        </w:r>
      </w:hyperlink>
      <w:r>
        <w:rPr>
          <w:rFonts w:ascii="Arial" w:cs="Arial" w:eastAsia="Arial" w:hAnsi="Arial"/>
          <w:color w:val="1B2631"/>
          <w:sz w:val="22"/>
          <w:szCs w:val="22"/>
        </w:rPr>
        <w:t xml:space="preserve">) &lt;br/&gt;Cited for: BioBERT</w:t>
      </w:r>
    </w:p>
    <w:p>
      <w:pPr>
        <w:spacing w:after="60" w:before="60" w:line="276"/>
      </w:pPr>
      <w:r>
        <w:rPr>
          <w:rFonts w:ascii="Arial" w:cs="Arial" w:eastAsia="Arial" w:hAnsi="Arial"/>
          <w:color w:val="1B2631"/>
          <w:sz w:val="22"/>
          <w:szCs w:val="22"/>
        </w:rPr>
        <w:t xml:space="preserve">[16] lopez2009grobid. Patrice Lopez. "GROBID: Combining Automatic Bibliographic Data Recognition and Term Extraction for Scholarship Publications." Lecture Notes in Computer Science, 2009. DOI: 10.1007/978-3-642-04346-8</w:t>
      </w:r>
      <w:r>
        <w:rPr>
          <w:rFonts w:ascii="Arial" w:cs="Arial" w:eastAsia="Arial" w:hAnsi="Arial"/>
          <w:color w:val="1B2631"/>
          <w:sz w:val="22"/>
          <w:szCs w:val="22"/>
        </w:rPr>
        <w:t xml:space="preserve">_</w:t>
      </w:r>
      <w:r>
        <w:rPr>
          <w:rFonts w:ascii="Arial" w:cs="Arial" w:eastAsia="Arial" w:hAnsi="Arial"/>
          <w:color w:val="1B2631"/>
          <w:sz w:val="22"/>
          <w:szCs w:val="22"/>
        </w:rPr>
        <w:t xml:space="preserve">62 (</w:t>
      </w:r>
      <w:hyperlink w:history="1" r:id="rIdndldftz_c_7r6mhowsswz">
        <w:r>
          <w:rPr>
            <w:rFonts w:ascii="Arial" w:cs="Arial" w:eastAsia="Arial" w:hAnsi="Arial"/>
            <w:color w:val="1155CC"/>
            <w:sz w:val="22"/>
            <w:szCs w:val="22"/>
            <w:u w:val="single"/>
          </w:rPr>
          <w:t xml:space="preserve">https://doi.org/10.1007/978-3-642-04346-8_62</w:t>
        </w:r>
      </w:hyperlink>
      <w:r>
        <w:rPr>
          <w:rFonts w:ascii="Arial" w:cs="Arial" w:eastAsia="Arial" w:hAnsi="Arial"/>
          <w:color w:val="1B2631"/>
          <w:sz w:val="22"/>
          <w:szCs w:val="22"/>
        </w:rPr>
        <w:t xml:space="preserve">) &lt;br/&gt;Cited for: GROBID</w:t>
      </w:r>
    </w:p>
    <w:p>
      <w:pPr>
        <w:spacing w:after="60" w:before="60" w:line="276"/>
      </w:pPr>
      <w:r>
        <w:rPr>
          <w:rFonts w:ascii="Arial" w:cs="Arial" w:eastAsia="Arial" w:hAnsi="Arial"/>
          <w:color w:val="1B2631"/>
          <w:sz w:val="22"/>
          <w:szCs w:val="22"/>
        </w:rPr>
        <w:t xml:space="preserve">[17] marshall2016robotreviewer. Iain J Marshall, Joël Kuiper, and Byron C Wallace. "RobotReviewer: evaluation of a system for automatically assessing bias in clinical trials." Journal of the American Medical Informatics Association, 2015. DOI: 10.1093/jamia/ocv044 (</w:t>
      </w:r>
      <w:hyperlink w:history="1" r:id="rId4otneswlvjjnthsuekbjk">
        <w:r>
          <w:rPr>
            <w:rFonts w:ascii="Arial" w:cs="Arial" w:eastAsia="Arial" w:hAnsi="Arial"/>
            <w:color w:val="1155CC"/>
            <w:sz w:val="22"/>
            <w:szCs w:val="22"/>
            <w:u w:val="single"/>
          </w:rPr>
          <w:t xml:space="preserve">https://doi.org/10.1093/jamia/ocv044</w:t>
        </w:r>
      </w:hyperlink>
      <w:r>
        <w:rPr>
          <w:rFonts w:ascii="Arial" w:cs="Arial" w:eastAsia="Arial" w:hAnsi="Arial"/>
          <w:color w:val="1B2631"/>
          <w:sz w:val="22"/>
          <w:szCs w:val="22"/>
        </w:rPr>
        <w:t xml:space="preserve">) &lt;br/&gt;Cited for: RobotReviewer: automatic risk-of-bias assessment</w:t>
      </w:r>
    </w:p>
    <w:p>
      <w:pPr>
        <w:spacing w:after="60" w:before="60" w:line="276"/>
      </w:pPr>
      <w:r>
        <w:rPr>
          <w:rFonts w:ascii="Arial" w:cs="Arial" w:eastAsia="Arial" w:hAnsi="Arial"/>
          <w:color w:val="1B2631"/>
          <w:sz w:val="22"/>
          <w:szCs w:val="22"/>
        </w:rPr>
        <w:t xml:space="preserve">[18] marshall2020trialstreamer. Iain Marshall et al.. "Trialstreamer: A living, automatically updated database of clinical trial reports." Journal of the American Medical Informatics Association, 2020. DOI: 10.1093/jamia/ocaa163 (</w:t>
      </w:r>
      <w:hyperlink w:history="1" r:id="rIdvbnlocmg5issdpfv7htdr">
        <w:r>
          <w:rPr>
            <w:rFonts w:ascii="Arial" w:cs="Arial" w:eastAsia="Arial" w:hAnsi="Arial"/>
            <w:color w:val="1155CC"/>
            <w:sz w:val="22"/>
            <w:szCs w:val="22"/>
            <w:u w:val="single"/>
          </w:rPr>
          <w:t xml:space="preserve">https://doi.org/10.1093/jamia/ocaa163</w:t>
        </w:r>
      </w:hyperlink>
      <w:r>
        <w:rPr>
          <w:rFonts w:ascii="Arial" w:cs="Arial" w:eastAsia="Arial" w:hAnsi="Arial"/>
          <w:color w:val="1B2631"/>
          <w:sz w:val="22"/>
          <w:szCs w:val="22"/>
        </w:rPr>
        <w:t xml:space="preserve">) &lt;br/&gt;Cited for: Trialstreamer: auto-updated RCT database</w:t>
      </w:r>
    </w:p>
    <w:p>
      <w:pPr>
        <w:spacing w:after="60" w:before="60" w:line="276"/>
      </w:pPr>
      <w:r>
        <w:rPr>
          <w:rFonts w:ascii="Arial" w:cs="Arial" w:eastAsia="Arial" w:hAnsi="Arial"/>
          <w:color w:val="1B2631"/>
          <w:sz w:val="22"/>
          <w:szCs w:val="22"/>
        </w:rPr>
        <w:t xml:space="preserve">[19] martin2021oadoi. Heather Piwowar et al.. "The state of OA: a large-scale analysis of the prevalence and impact of Open Access articles." PeerJ, 2018. DOI: 10.7717/peerj.4375 (</w:t>
      </w:r>
      <w:hyperlink w:history="1" r:id="rId1xx3lh1y5hkoi6wchjjg2">
        <w:r>
          <w:rPr>
            <w:rFonts w:ascii="Arial" w:cs="Arial" w:eastAsia="Arial" w:hAnsi="Arial"/>
            <w:color w:val="1155CC"/>
            <w:sz w:val="22"/>
            <w:szCs w:val="22"/>
            <w:u w:val="single"/>
          </w:rPr>
          <w:t xml:space="preserve">https://doi.org/10.7717/peerj.4375</w:t>
        </w:r>
      </w:hyperlink>
      <w:r>
        <w:rPr>
          <w:rFonts w:ascii="Arial" w:cs="Arial" w:eastAsia="Arial" w:hAnsi="Arial"/>
          <w:color w:val="1B2631"/>
          <w:sz w:val="22"/>
          <w:szCs w:val="22"/>
        </w:rPr>
        <w:t xml:space="preserve">) &lt;br/&gt;Cited for: Unpaywall / open access state</w:t>
      </w:r>
    </w:p>
    <w:p>
      <w:pPr>
        <w:spacing w:after="60" w:before="60" w:line="276"/>
      </w:pPr>
      <w:r>
        <w:rPr>
          <w:rFonts w:ascii="Arial" w:cs="Arial" w:eastAsia="Arial" w:hAnsi="Arial"/>
          <w:color w:val="1B2631"/>
          <w:sz w:val="22"/>
          <w:szCs w:val="22"/>
        </w:rPr>
        <w:t xml:space="preserve">[20] moher2009prisma. David Moher, Alessandro Liberati, Jennifer Tetzlaff, Douglas G. Altman, and The PRISMA Group. "Preferred Reporting Items for Systematic Reviews and Meta-Analyses: The PRISMA Statement." PLoS Medicine, 2009. DOI: 10.1371/journal.pmed.1000097 (</w:t>
      </w:r>
      <w:hyperlink w:history="1" r:id="rIdqgwxhqdp3vvhjtgu_ronf">
        <w:r>
          <w:rPr>
            <w:rFonts w:ascii="Arial" w:cs="Arial" w:eastAsia="Arial" w:hAnsi="Arial"/>
            <w:color w:val="1155CC"/>
            <w:sz w:val="22"/>
            <w:szCs w:val="22"/>
            <w:u w:val="single"/>
          </w:rPr>
          <w:t xml:space="preserve">https://doi.org/10.1371/journal.pmed.1000097</w:t>
        </w:r>
      </w:hyperlink>
      <w:r>
        <w:rPr>
          <w:rFonts w:ascii="Arial" w:cs="Arial" w:eastAsia="Arial" w:hAnsi="Arial"/>
          <w:color w:val="1B2631"/>
          <w:sz w:val="22"/>
          <w:szCs w:val="22"/>
        </w:rPr>
        <w:t xml:space="preserve">) &lt;br/&gt;Cited for: PRISMA reporting guideline</w:t>
      </w:r>
    </w:p>
    <w:p>
      <w:pPr>
        <w:spacing w:after="60" w:before="60" w:line="276"/>
      </w:pPr>
      <w:r>
        <w:rPr>
          <w:rFonts w:ascii="Arial" w:cs="Arial" w:eastAsia="Arial" w:hAnsi="Arial"/>
          <w:color w:val="1B2631"/>
          <w:sz w:val="22"/>
          <w:szCs w:val="22"/>
        </w:rPr>
        <w:t xml:space="preserve">[21] neumann2019scispacy. Mark Neumann, Daniel King, Iz Beltagy, and Waleed Ammar. "ScispaCy: Fast and Robust Models for Biomedical Natural Language Processing." Proceedings of the 18th BioNLP Workshop and Shared Task, 2019. DOI: 10.18653/v1/W19-5034 (</w:t>
      </w:r>
      <w:hyperlink w:history="1" r:id="rIdmeyu3snqb6m4vbdptb2yu">
        <w:r>
          <w:rPr>
            <w:rFonts w:ascii="Arial" w:cs="Arial" w:eastAsia="Arial" w:hAnsi="Arial"/>
            <w:color w:val="1155CC"/>
            <w:sz w:val="22"/>
            <w:szCs w:val="22"/>
            <w:u w:val="single"/>
          </w:rPr>
          <w:t xml:space="preserve">https://doi.org/10.18653/v1/W19-5034</w:t>
        </w:r>
      </w:hyperlink>
      <w:r>
        <w:rPr>
          <w:rFonts w:ascii="Arial" w:cs="Arial" w:eastAsia="Arial" w:hAnsi="Arial"/>
          <w:color w:val="1B2631"/>
          <w:sz w:val="22"/>
          <w:szCs w:val="22"/>
        </w:rPr>
        <w:t xml:space="preserve">) &lt;br/&gt;Cited for: ScispaCy biomedical NLP pipeline</w:t>
      </w:r>
    </w:p>
    <w:p>
      <w:pPr>
        <w:spacing w:after="60" w:before="60" w:line="276"/>
      </w:pPr>
      <w:r>
        <w:rPr>
          <w:rFonts w:ascii="Arial" w:cs="Arial" w:eastAsia="Arial" w:hAnsi="Arial"/>
          <w:color w:val="1B2631"/>
          <w:sz w:val="22"/>
          <w:szCs w:val="22"/>
        </w:rPr>
        <w:t xml:space="preserve">[22] newman2001structure. M. E. J. Newman. "The structure of scientific collaboration networks." Proceedings of the National Academy of Sciences, 2001. DOI: 10.1073/pnas.98.2.404 (</w:t>
      </w:r>
      <w:hyperlink w:history="1" r:id="rId-ksbxe5zzn_p-uxrzido5">
        <w:r>
          <w:rPr>
            <w:rFonts w:ascii="Arial" w:cs="Arial" w:eastAsia="Arial" w:hAnsi="Arial"/>
            <w:color w:val="1155CC"/>
            <w:sz w:val="22"/>
            <w:szCs w:val="22"/>
            <w:u w:val="single"/>
          </w:rPr>
          <w:t xml:space="preserve">https://doi.org/10.1073/pnas.98.2.404</w:t>
        </w:r>
      </w:hyperlink>
      <w:r>
        <w:rPr>
          <w:rFonts w:ascii="Arial" w:cs="Arial" w:eastAsia="Arial" w:hAnsi="Arial"/>
          <w:color w:val="1B2631"/>
          <w:sz w:val="22"/>
          <w:szCs w:val="22"/>
        </w:rPr>
        <w:t xml:space="preserve">) &lt;br/&gt;Cited for: Structure of scientific collaboration networks</w:t>
      </w:r>
    </w:p>
    <w:p>
      <w:pPr>
        <w:spacing w:after="60" w:before="60" w:line="276"/>
      </w:pPr>
      <w:r>
        <w:rPr>
          <w:rFonts w:ascii="Arial" w:cs="Arial" w:eastAsia="Arial" w:hAnsi="Arial"/>
          <w:color w:val="1B2631"/>
          <w:sz w:val="22"/>
          <w:szCs w:val="22"/>
        </w:rPr>
        <w:t xml:space="preserve">[23] nye2018ebmnlp. Benjamin Nye et al.. "A Corpus with Multi-Level Annotations of Patients, Interventions and Outcomes to Support Language Processing for Medical Literature." Proceedings of the 56th Annual Meeting of the Association for Computational Linguistics (Volume 1: Long Papers), 2018. DOI: 10.18653/v1/P18-1019 (</w:t>
      </w:r>
      <w:hyperlink w:history="1" r:id="rIdszgyvl2xwqqlzarpq1cjq">
        <w:r>
          <w:rPr>
            <w:rFonts w:ascii="Arial" w:cs="Arial" w:eastAsia="Arial" w:hAnsi="Arial"/>
            <w:color w:val="1155CC"/>
            <w:sz w:val="22"/>
            <w:szCs w:val="22"/>
            <w:u w:val="single"/>
          </w:rPr>
          <w:t xml:space="preserve">https://doi.org/10.18653/v1/P18-1019</w:t>
        </w:r>
      </w:hyperlink>
      <w:r>
        <w:rPr>
          <w:rFonts w:ascii="Arial" w:cs="Arial" w:eastAsia="Arial" w:hAnsi="Arial"/>
          <w:color w:val="1B2631"/>
          <w:sz w:val="22"/>
          <w:szCs w:val="22"/>
        </w:rPr>
        <w:t xml:space="preserve">) &lt;br/&gt;Cited for: EBM-NLP corpus: PICO spans in abstracts</w:t>
      </w:r>
    </w:p>
    <w:p>
      <w:pPr>
        <w:spacing w:after="60" w:before="60" w:line="276"/>
      </w:pPr>
      <w:r>
        <w:rPr>
          <w:rFonts w:ascii="Arial" w:cs="Arial" w:eastAsia="Arial" w:hAnsi="Arial"/>
          <w:color w:val="1B2631"/>
          <w:sz w:val="22"/>
          <w:szCs w:val="22"/>
        </w:rPr>
        <w:t xml:space="preserve">[24] priem2022openalex. Jason R Priem et al.. "OpenAlex Snapshot." arXiv (Cornell University), 2022. DOI: 10.48550/arXiv.2205.01833 (</w:t>
      </w:r>
      <w:hyperlink w:history="1" r:id="rIdn-399jjakwexfwl2crm9u">
        <w:r>
          <w:rPr>
            <w:rFonts w:ascii="Arial" w:cs="Arial" w:eastAsia="Arial" w:hAnsi="Arial"/>
            <w:color w:val="1155CC"/>
            <w:sz w:val="22"/>
            <w:szCs w:val="22"/>
            <w:u w:val="single"/>
          </w:rPr>
          <w:t xml:space="preserve">https://doi.org/10.48550/arXiv.2205.01833</w:t>
        </w:r>
      </w:hyperlink>
      <w:r>
        <w:rPr>
          <w:rFonts w:ascii="Arial" w:cs="Arial" w:eastAsia="Arial" w:hAnsi="Arial"/>
          <w:color w:val="1B2631"/>
          <w:sz w:val="22"/>
          <w:szCs w:val="22"/>
        </w:rPr>
        <w:t xml:space="preserve">) &lt;br/&gt;Cited for: OpenAlex open scholarly catalogue</w:t>
      </w:r>
    </w:p>
    <w:p>
      <w:pPr>
        <w:spacing w:after="60" w:before="60" w:line="276"/>
      </w:pPr>
      <w:r>
        <w:rPr>
          <w:rFonts w:ascii="Arial" w:cs="Arial" w:eastAsia="Arial" w:hAnsi="Arial"/>
          <w:color w:val="1B2631"/>
          <w:sz w:val="22"/>
          <w:szCs w:val="22"/>
        </w:rPr>
        <w:t xml:space="preserve">[25] radicchi2008universality. Filippo Radicchi, Santo Fortunato, and Claudio Castellano. "Universality of citation distributions: Toward an objective measure of scientific impact." Proceedings of the National Academy of Sciences, 2008. DOI: 10.1073/pnas.0806977105 (</w:t>
      </w:r>
      <w:hyperlink w:history="1" r:id="rIdl4hayc3nc-y7n1z936bjn">
        <w:r>
          <w:rPr>
            <w:rFonts w:ascii="Arial" w:cs="Arial" w:eastAsia="Arial" w:hAnsi="Arial"/>
            <w:color w:val="1155CC"/>
            <w:sz w:val="22"/>
            <w:szCs w:val="22"/>
            <w:u w:val="single"/>
          </w:rPr>
          <w:t xml:space="preserve">https://doi.org/10.1073/pnas.0806977105</w:t>
        </w:r>
      </w:hyperlink>
      <w:r>
        <w:rPr>
          <w:rFonts w:ascii="Arial" w:cs="Arial" w:eastAsia="Arial" w:hAnsi="Arial"/>
          <w:color w:val="1B2631"/>
          <w:sz w:val="22"/>
          <w:szCs w:val="22"/>
        </w:rPr>
        <w:t xml:space="preserve">) &lt;br/&gt;Cited for: Universality of citation distributions</w:t>
      </w:r>
    </w:p>
    <w:p>
      <w:pPr>
        <w:spacing w:after="60" w:before="60" w:line="276"/>
      </w:pPr>
      <w:r>
        <w:rPr>
          <w:rFonts w:ascii="Arial" w:cs="Arial" w:eastAsia="Arial" w:hAnsi="Arial"/>
          <w:color w:val="1B2631"/>
          <w:sz w:val="22"/>
          <w:szCs w:val="22"/>
        </w:rPr>
        <w:t xml:space="preserve">[26] redner1998citation. S. Redner. "How popular is your paper? An empirical study of the citation distribution." The European Physical Journal B, 1998. DOI: 10.1007/s100510050359 (</w:t>
      </w:r>
      <w:hyperlink w:history="1" r:id="rIdddhly6eyn6dl5mj5ed2hv">
        <w:r>
          <w:rPr>
            <w:rFonts w:ascii="Arial" w:cs="Arial" w:eastAsia="Arial" w:hAnsi="Arial"/>
            <w:color w:val="1155CC"/>
            <w:sz w:val="22"/>
            <w:szCs w:val="22"/>
            <w:u w:val="single"/>
          </w:rPr>
          <w:t xml:space="preserve">https://doi.org/10.1007/s100510050359</w:t>
        </w:r>
      </w:hyperlink>
      <w:r>
        <w:rPr>
          <w:rFonts w:ascii="Arial" w:cs="Arial" w:eastAsia="Arial" w:hAnsi="Arial"/>
          <w:color w:val="1B2631"/>
          <w:sz w:val="22"/>
          <w:szCs w:val="22"/>
        </w:rPr>
        <w:t xml:space="preserve">) &lt;br/&gt;Cited for: Citation distribution statistics</w:t>
      </w:r>
    </w:p>
    <w:p>
      <w:pPr>
        <w:spacing w:after="60" w:before="60" w:line="276"/>
      </w:pPr>
      <w:r>
        <w:rPr>
          <w:rFonts w:ascii="Arial" w:cs="Arial" w:eastAsia="Arial" w:hAnsi="Arial"/>
          <w:color w:val="1B2631"/>
          <w:sz w:val="22"/>
          <w:szCs w:val="22"/>
        </w:rPr>
        <w:t xml:space="preserve">[27] walker2007citerank. Dylan Walker, Huafeng Xie, Koon-Kiu Yan, and Sergei Maslov. "Ranking scientific publications using a model of network traffic." Journal of Statistical Mechanics: Theory and Experiment, 2007. DOI: 10.1088/1742-5468/2007/06/P06010 (</w:t>
      </w:r>
      <w:hyperlink w:history="1" r:id="rId-th55fxd6i4cqip2zm2jf">
        <w:r>
          <w:rPr>
            <w:rFonts w:ascii="Arial" w:cs="Arial" w:eastAsia="Arial" w:hAnsi="Arial"/>
            <w:color w:val="1155CC"/>
            <w:sz w:val="22"/>
            <w:szCs w:val="22"/>
            <w:u w:val="single"/>
          </w:rPr>
          <w:t xml:space="preserve">https://doi.org/10.1088/1742-5468/2007/06/P06010</w:t>
        </w:r>
      </w:hyperlink>
      <w:r>
        <w:rPr>
          <w:rFonts w:ascii="Arial" w:cs="Arial" w:eastAsia="Arial" w:hAnsi="Arial"/>
          <w:color w:val="1B2631"/>
          <w:sz w:val="22"/>
          <w:szCs w:val="22"/>
        </w:rPr>
        <w:t xml:space="preserve">) &lt;br/&gt;Cited for: CiteRank: finding scientific gems</w:t>
      </w:r>
    </w:p>
    <w:p>
      <w:pPr>
        <w:spacing w:after="60" w:before="60" w:line="276"/>
      </w:pPr>
      <w:r>
        <w:rPr>
          <w:rFonts w:ascii="Arial" w:cs="Arial" w:eastAsia="Arial" w:hAnsi="Arial"/>
          <w:color w:val="1B2631"/>
          <w:sz w:val="22"/>
          <w:szCs w:val="22"/>
        </w:rPr>
        <w:t xml:space="preserve">[28] waltman2016review. Ludo Waltman. "A review of the literature on citation impact indicators." Journal of Informetrics, 2016. DOI: 10.1016/j.joi.2016.02.007 (</w:t>
      </w:r>
      <w:hyperlink w:history="1" r:id="rIdqyt0xcx8qadlwjeqqtuur">
        <w:r>
          <w:rPr>
            <w:rFonts w:ascii="Arial" w:cs="Arial" w:eastAsia="Arial" w:hAnsi="Arial"/>
            <w:color w:val="1155CC"/>
            <w:sz w:val="22"/>
            <w:szCs w:val="22"/>
            <w:u w:val="single"/>
          </w:rPr>
          <w:t xml:space="preserve">https://doi.org/10.1016/j.joi.2016.02.007</w:t>
        </w:r>
      </w:hyperlink>
      <w:r>
        <w:rPr>
          <w:rFonts w:ascii="Arial" w:cs="Arial" w:eastAsia="Arial" w:hAnsi="Arial"/>
          <w:color w:val="1B2631"/>
          <w:sz w:val="22"/>
          <w:szCs w:val="22"/>
        </w:rPr>
        <w:t xml:space="preserve">) &lt;br/&gt;Cited for: Review of citation impact indicators</w:t>
      </w:r>
    </w:p>
    <w:p>
      <w:pPr>
        <w:spacing w:after="60" w:before="60" w:line="276"/>
      </w:pPr>
      <w:r>
        <w:rPr>
          <w:rFonts w:ascii="Arial" w:cs="Arial" w:eastAsia="Arial" w:hAnsi="Arial"/>
          <w:color w:val="1B2631"/>
          <w:sz w:val="22"/>
          <w:szCs w:val="22"/>
        </w:rPr>
        <w:t xml:space="preserve">[29] wang2020mag. Kuansan Wang, Z. Shen, Chiyuan Huang, Chieh‐Han Wu, Yuxiao Dong, and Anshul Kanakia. "Microsoft Academic Graph: When experts are not enough." Quantitative Science Studies, 2020. DOI: 10.1162/qss</w:t>
      </w:r>
      <w:r>
        <w:rPr>
          <w:rFonts w:ascii="Arial" w:cs="Arial" w:eastAsia="Arial" w:hAnsi="Arial"/>
          <w:color w:val="1B2631"/>
          <w:sz w:val="22"/>
          <w:szCs w:val="22"/>
        </w:rPr>
        <w:t xml:space="preserve">_</w:t>
      </w:r>
      <w:r>
        <w:rPr>
          <w:rFonts w:ascii="Arial" w:cs="Arial" w:eastAsia="Arial" w:hAnsi="Arial"/>
          <w:color w:val="1B2631"/>
          <w:sz w:val="22"/>
          <w:szCs w:val="22"/>
        </w:rPr>
        <w:t xml:space="preserve">a</w:t>
      </w:r>
      <w:r>
        <w:rPr>
          <w:rFonts w:ascii="Arial" w:cs="Arial" w:eastAsia="Arial" w:hAnsi="Arial"/>
          <w:color w:val="1B2631"/>
          <w:sz w:val="22"/>
          <w:szCs w:val="22"/>
        </w:rPr>
        <w:t xml:space="preserve">_</w:t>
      </w:r>
      <w:r>
        <w:rPr>
          <w:rFonts w:ascii="Arial" w:cs="Arial" w:eastAsia="Arial" w:hAnsi="Arial"/>
          <w:color w:val="1B2631"/>
          <w:sz w:val="22"/>
          <w:szCs w:val="22"/>
        </w:rPr>
        <w:t xml:space="preserve">00021 (</w:t>
      </w:r>
      <w:hyperlink w:history="1" r:id="rIdvzve9kir9etaribx3v0qs">
        <w:r>
          <w:rPr>
            <w:rFonts w:ascii="Arial" w:cs="Arial" w:eastAsia="Arial" w:hAnsi="Arial"/>
            <w:color w:val="1155CC"/>
            <w:sz w:val="22"/>
            <w:szCs w:val="22"/>
            <w:u w:val="single"/>
          </w:rPr>
          <w:t xml:space="preserve">https://doi.org/10.1162/qss_a_00021</w:t>
        </w:r>
      </w:hyperlink>
      <w:r>
        <w:rPr>
          <w:rFonts w:ascii="Arial" w:cs="Arial" w:eastAsia="Arial" w:hAnsi="Arial"/>
          <w:color w:val="1B2631"/>
          <w:sz w:val="22"/>
          <w:szCs w:val="22"/>
        </w:rPr>
        <w:t xml:space="preserve">) &lt;br/&gt;Cited for: Microsoft Academic Graph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49AB" w:sz="4" w:space="1"/>
      </w:pBdr>
      <w:jc w:val="center"/>
    </w:pPr>
    <w:r>
      <w:rPr>
        <w:rFonts w:ascii="Arial" w:cs="Arial" w:eastAsia="Arial" w:hAnsi="Arial"/>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4" w:space="1"/>
      </w:pBdr>
      <w:jc w:val="center"/>
    </w:pPr>
    <w:r>
      <w:rPr>
        <w:rFonts w:ascii="Arial" w:cs="Arial" w:eastAsia="Arial" w:hAnsi="Arial"/>
        <w:color w:val="555555"/>
        <w:sz w:val="18"/>
        <w:szCs w:val="18"/>
      </w:rPr>
      <w:t xml:space="preserve">CiteGraph-NLP: A Confidence-Aware System for Citation Lineage Analysis and Study-Scale Evidence Extraction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78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kvcz1jt_nfomosqajsed" Type="http://schemas.openxmlformats.org/officeDocument/2006/relationships/hyperlink" Target="https://doi.org/10.x/y" TargetMode="External"/><Relationship Id="rIdzhl-9ak0upo6l72ox-9zm" Type="http://schemas.openxmlformats.org/officeDocument/2006/relationships/hyperlink" Target="https://pubmed.ncbi.nlm.nih.gov/12345678" TargetMode="External"/><Relationship Id="rIdtemjf7xwml2f1e8vidzec" Type="http://schemas.openxmlformats.org/officeDocument/2006/relationships/hyperlink" Target="https://citegraph-api.penora.us" TargetMode="External"/><Relationship Id="rIdoubzhsdnm1jmho829ymxo" Type="http://schemas.openxmlformats.org/officeDocument/2006/relationships/hyperlink" Target="https://doi.org/10.18653/v1/D19-1371" TargetMode="External"/><Relationship Id="rIdprfm4nw7xblfui3pm6z74" Type="http://schemas.openxmlformats.org/officeDocument/2006/relationships/hyperlink" Target="https://doi.org/10.1016/S0169-7552" TargetMode="External"/><Relationship Id="rIduwknchdlvocn7uls-rcjq" Type="http://schemas.openxmlformats.org/officeDocument/2006/relationships/hyperlink" Target="https://doi.org/10.1038/nrn3475" TargetMode="External"/><Relationship Id="rIdze45vpftoseksxjvno4n8" Type="http://schemas.openxmlformats.org/officeDocument/2006/relationships/hyperlink" Target="https://doi.org/10.1002/asi.20317" TargetMode="External"/><Relationship Id="rIdw5snt3sexxl4ipukytrc8" Type="http://schemas.openxmlformats.org/officeDocument/2006/relationships/hyperlink" Target="https://doi.org/10.1016/j.joi.2006.06.001" TargetMode="External"/><Relationship Id="rIdbjw3_haufy6obmsgdhraf" Type="http://schemas.openxmlformats.org/officeDocument/2006/relationships/hyperlink" Target="https://doi.org/10.1093/nar/gku1061" TargetMode="External"/><Relationship Id="rIdxd6zwhvgumgbmqdidwwaq" Type="http://schemas.openxmlformats.org/officeDocument/2006/relationships/hyperlink" Target="https://doi.org/10.1126/science.122.3159.108" TargetMode="External"/><Relationship Id="rIdyat7yrxsbotpffxlnyl8z" Type="http://schemas.openxmlformats.org/officeDocument/2006/relationships/hyperlink" Target="https://doi.org/10.25080/TCWV9851" TargetMode="External"/><Relationship Id="rIdc6213sqlvwyoux5bk5qnw" Type="http://schemas.openxmlformats.org/officeDocument/2006/relationships/hyperlink" Target="https://doi.org/10.1162/qss_a_00022" TargetMode="External"/><Relationship Id="rIdbwefj2o5v4u93li9bw2kx" Type="http://schemas.openxmlformats.org/officeDocument/2006/relationships/hyperlink" Target="https://doi.org/10.1136/bmj.d5928" TargetMode="External"/><Relationship Id="rIdv8i9y6cey3olkctrqdvyc" Type="http://schemas.openxmlformats.org/officeDocument/2006/relationships/hyperlink" Target="https://doi.org/10.1073/pnas.0507655102" TargetMode="External"/><Relationship Id="rIdbnmpqrvhhvohsck5h2buy" Type="http://schemas.openxmlformats.org/officeDocument/2006/relationships/hyperlink" Target="https://doi.org/10.1371/journal.pmed.0020124" TargetMode="External"/><Relationship Id="rId4t96azsvclixxmtq664jx" Type="http://schemas.openxmlformats.org/officeDocument/2006/relationships/hyperlink" Target="https://doi.org/10.18653/v1/W18-2308" TargetMode="External"/><Relationship Id="rIdvgnsjpztdb1qmscag0ahy" Type="http://schemas.openxmlformats.org/officeDocument/2006/relationships/hyperlink" Target="https://doi.org/10.1093/bioinformatics/btg1023" TargetMode="External"/><Relationship Id="rId_0inguv8kewjlaggs25ro" Type="http://schemas.openxmlformats.org/officeDocument/2006/relationships/hyperlink" Target="https://doi.org/10.1093/bioinformatics/btz682" TargetMode="External"/><Relationship Id="rIdndldftz_c_7r6mhowsswz" Type="http://schemas.openxmlformats.org/officeDocument/2006/relationships/hyperlink" Target="https://doi.org/10.1007/978-3-642-04346-8_62" TargetMode="External"/><Relationship Id="rId4otneswlvjjnthsuekbjk" Type="http://schemas.openxmlformats.org/officeDocument/2006/relationships/hyperlink" Target="https://doi.org/10.1093/jamia/ocv044" TargetMode="External"/><Relationship Id="rIdvbnlocmg5issdpfv7htdr" Type="http://schemas.openxmlformats.org/officeDocument/2006/relationships/hyperlink" Target="https://doi.org/10.1093/jamia/ocaa163" TargetMode="External"/><Relationship Id="rId1xx3lh1y5hkoi6wchjjg2" Type="http://schemas.openxmlformats.org/officeDocument/2006/relationships/hyperlink" Target="https://doi.org/10.7717/peerj.4375" TargetMode="External"/><Relationship Id="rIdqgwxhqdp3vvhjtgu_ronf" Type="http://schemas.openxmlformats.org/officeDocument/2006/relationships/hyperlink" Target="https://doi.org/10.1371/journal.pmed.1000097" TargetMode="External"/><Relationship Id="rIdmeyu3snqb6m4vbdptb2yu" Type="http://schemas.openxmlformats.org/officeDocument/2006/relationships/hyperlink" Target="https://doi.org/10.18653/v1/W19-5034" TargetMode="External"/><Relationship Id="rId-ksbxe5zzn_p-uxrzido5" Type="http://schemas.openxmlformats.org/officeDocument/2006/relationships/hyperlink" Target="https://doi.org/10.1073/pnas.98.2.404" TargetMode="External"/><Relationship Id="rIdszgyvl2xwqqlzarpq1cjq" Type="http://schemas.openxmlformats.org/officeDocument/2006/relationships/hyperlink" Target="https://doi.org/10.18653/v1/P18-1019" TargetMode="External"/><Relationship Id="rIdn-399jjakwexfwl2crm9u" Type="http://schemas.openxmlformats.org/officeDocument/2006/relationships/hyperlink" Target="https://doi.org/10.48550/arXiv.2205.01833" TargetMode="External"/><Relationship Id="rIdl4hayc3nc-y7n1z936bjn" Type="http://schemas.openxmlformats.org/officeDocument/2006/relationships/hyperlink" Target="https://doi.org/10.1073/pnas.0806977105" TargetMode="External"/><Relationship Id="rIdddhly6eyn6dl5mj5ed2hv" Type="http://schemas.openxmlformats.org/officeDocument/2006/relationships/hyperlink" Target="https://doi.org/10.1007/s100510050359" TargetMode="External"/><Relationship Id="rId-th55fxd6i4cqip2zm2jf" Type="http://schemas.openxmlformats.org/officeDocument/2006/relationships/hyperlink" Target="https://doi.org/10.1088/1742-5468/2007/06/P06010" TargetMode="External"/><Relationship Id="rIdqyt0xcx8qadlwjeqqtuur" Type="http://schemas.openxmlformats.org/officeDocument/2006/relationships/hyperlink" Target="https://doi.org/10.1016/j.joi.2016.02.007" TargetMode="External"/><Relationship Id="rIdvzve9kir9etaribx3v0qs" Type="http://schemas.openxmlformats.org/officeDocument/2006/relationships/hyperlink" Target="https://doi.org/10.1162/qss_a_00021"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CiteGraph-NLP: A Confidence-Aware System for Citation Lineage Analysis and Study-Scale Evidence Extraction</dc:title>
  <dc:creator>Penora</dc:creator>
  <cp:lastModifiedBy>Un-named</cp:lastModifiedBy>
  <cp:revision>1</cp:revision>
  <dcterms:created xsi:type="dcterms:W3CDTF">2026-09-18T21:51:05.513Z</dcterms:created>
  <dcterms:modified xsi:type="dcterms:W3CDTF">2026-09-18T21:51:05.523Z</dcterms:modified>
</cp:coreProperties>
</file>

<file path=docProps/custom.xml><?xml version="1.0" encoding="utf-8"?>
<Properties xmlns="http://schemas.openxmlformats.org/officeDocument/2006/custom-properties" xmlns:vt="http://schemas.openxmlformats.org/officeDocument/2006/docPropsVTypes"/>
</file>