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12.png" ContentType="image/png"/>
  <Override PartName="/word/media/rId128.png" ContentType="image/png"/>
  <Override PartName="/word/media/rId73.png" ContentType="image/png"/>
  <Override PartName="/word/media/rId309.png" ContentType="image/png"/>
  <Override PartName="/word/media/rId78.png" ContentType="image/png"/>
  <Override PartName="/word/media/rId306.png" ContentType="image/png"/>
  <Override PartName="/word/media/rId84.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Artificial Intelligence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F22607025</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054885"/>
            <wp:effectExtent b="0" l="0" r="0" t="0"/>
            <wp:docPr descr="Figure 4.1 Inter-package dependencies, produced by running pyreverse over src/citegraph and collapsing its 60 module nodes to the 15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054885"/>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60 module nodes to the 15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869543"/>
            <wp:effectExtent b="0" l="0" r="0" t="0"/>
            <wp:docPr descr="Figure 4.2 Object composition among the classes that participate in a relationship, from pyreverse with the 30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869543"/>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30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5600371"/>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5600371"/>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190191"/>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190191"/>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influence + 0.3 · year_score + 0.2 · evidence_score</w:t>
      </w:r>
      <w:r>
        <w:br/>
      </w:r>
      <w:r>
        <w:rPr>
          <w:rStyle w:val="VerbatimChar"/>
        </w:rPr>
        <w:t xml:space="preserve">influence = PageRank / (largest PageRank among the ranked papers)</w:t>
      </w:r>
    </w:p>
    <w:p>
      <w:pPr>
        <w:pStyle w:val="FirstParagraph"/>
      </w:pPr>
      <w:r>
        <w:rPr>
          <w:rStyle w:val="VerbatimChar"/>
        </w:rPr>
        <w:t xml:space="preserve">influence</w:t>
      </w:r>
      <w:r>
        <w:t xml:space="preserve"> </w:t>
      </w:r>
      <w:r>
        <w:t xml:space="preserve">runs from 0 to 1, as the other two terms do, and the seed is left</w:t>
      </w:r>
      <w:r>
        <w:t xml:space="preserve"> </w:t>
      </w:r>
      <w:r>
        <w:t xml:space="preserve">out of its own ranking; Section 5.6.4 records why both were needed.</w:t>
      </w:r>
      <w:r>
        <w:t xml:space="preserve"> </w:t>
      </w: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4"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342206"/>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342206"/>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9"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Start w:id="148" w:name="Xbf160e12fba2e7e2021fd507aecb78938b03906"/>
    <w:p>
      <w:pPr>
        <w:pStyle w:val="Heading3"/>
      </w:pPr>
      <w:r>
        <w:t xml:space="preserve">5.6.4 The weights reached the graph but not the ranking</w:t>
      </w:r>
    </w:p>
    <w:p>
      <w:pPr>
        <w:pStyle w:val="FirstParagraph"/>
      </w:pPr>
      <w:r>
        <w:t xml:space="preserve">A second fault on the same path was found much later, when the comparison RQ3</w:t>
      </w:r>
      <w:r>
        <w:t xml:space="preserve"> </w:t>
      </w:r>
      <w:r>
        <w:t xml:space="preserve">needs was finally run (</w:t>
      </w:r>
      <w:r>
        <w:rPr>
          <w:rStyle w:val="VerbatimChar"/>
        </w:rPr>
        <w:t xml:space="preserve">scripts/compare_rankings.py</w:t>
      </w:r>
      <w:r>
        <w:t xml:space="preserve">). The foundational ranking</w:t>
      </w:r>
      <w:r>
        <w:t xml:space="preserve"> </w:t>
      </w:r>
      <w:r>
        <w:t xml:space="preserve">of Section 4.6.1 added 0.5 · PageRank to 0.3 · year_score and 0.2 ·</w:t>
      </w:r>
      <w:r>
        <w:t xml:space="preserve"> </w:t>
      </w:r>
      <w:r>
        <w:t xml:space="preserve">evidence_score. The age and evidence terms run from 0 to 1 for each paper, but</w:t>
      </w:r>
      <w:r>
        <w:t xml:space="preserve"> </w:t>
      </w:r>
      <w:r>
        <w:t xml:space="preserve">PageRank values sum to 1 over the whole graph, so in a 100-paper graph a typical</w:t>
      </w:r>
      <w:r>
        <w:t xml:space="preserve"> </w:t>
      </w:r>
      <w:r>
        <w:t xml:space="preserve">paper scores about 0.01. On the three evaluation seeds the PageRank term</w:t>
      </w:r>
      <w:r>
        <w:t xml:space="preserve"> </w:t>
      </w:r>
      <w:r>
        <w:t xml:space="preserve">supplied about 1% of a top-ten paper's score, and replacing the</w:t>
      </w:r>
      <w:r>
        <w:t xml:space="preserve"> </w:t>
      </w:r>
      <w:r>
        <w:t xml:space="preserve">evidence-weighted edges with unweighted ones left every top ten with the same</w:t>
      </w:r>
      <w:r>
        <w:t xml:space="preserve"> </w:t>
      </w:r>
      <w:r>
        <w:t xml:space="preserve">papers (commit</w:t>
      </w:r>
      <w:r>
        <w:t xml:space="preserve"> </w:t>
      </w:r>
      <w:r>
        <w:rPr>
          <w:rStyle w:val="VerbatimChar"/>
        </w:rPr>
        <w:t xml:space="preserve">c3dfdcd</w:t>
      </w:r>
      <w:r>
        <w:t xml:space="preserve">). The weights of Section 4.5 were computed correctly</w:t>
      </w:r>
      <w:r>
        <w:t xml:space="preserve"> </w:t>
      </w:r>
      <w:r>
        <w:t xml:space="preserve">and reached the graph, and the ranking the dashboard shows ignored them.</w:t>
      </w:r>
    </w:p>
    <w:p>
      <w:pPr>
        <w:pStyle w:val="BodyText"/>
      </w:pPr>
      <w:r>
        <w:t xml:space="preserve">Like the zero weights above, this raised no error and showed no symptom. The</w:t>
      </w:r>
      <w:r>
        <w:t xml:space="preserve"> </w:t>
      </w:r>
      <w:r>
        <w:t xml:space="preserve">rankings looked plausible because age and study size are plausible signals on</w:t>
      </w:r>
      <w:r>
        <w:t xml:space="preserve"> </w:t>
      </w:r>
      <w:r>
        <w:t xml:space="preserve">their own.</w:t>
      </w:r>
    </w:p>
    <w:p>
      <w:pPr>
        <w:pStyle w:val="BodyText"/>
      </w:pPr>
      <w:r>
        <w:t xml:space="preserve">The fix divides PageRank by its largest value among the ranked papers, so</w:t>
      </w:r>
      <w:r>
        <w:t xml:space="preserve"> </w:t>
      </w:r>
      <w:r>
        <w:t xml:space="preserve">influence runs from 0 to 1 like the other terms. It also leaves the seed out of</w:t>
      </w:r>
      <w:r>
        <w:t xml:space="preserve"> </w:t>
      </w:r>
      <w:r>
        <w:t xml:space="preserve">its own ranking: in all three graphs the seed had the highest PageRank, so it</w:t>
      </w:r>
      <w:r>
        <w:t xml:space="preserve"> </w:t>
      </w:r>
      <w:r>
        <w:t xml:space="preserve">would otherwise have headed its own list of foundations and set the scale for</w:t>
      </w:r>
      <w:r>
        <w:t xml:space="preserve"> </w:t>
      </w:r>
      <w:r>
        <w:t xml:space="preserve">everything below it.</w:t>
      </w:r>
    </w:p>
    <w:tbl>
      <w:tblPr>
        <w:tblStyle w:val="Table"/>
        <w:tblW w:type="pct" w:w="5000"/>
        <w:tblLayout w:type="fixed"/>
        <w:tblLook w:firstRow="1" w:lastRow="0" w:firstColumn="0" w:lastColumn="0" w:noHBand="0" w:noVBand="0" w:val="0020"/>
      </w:tblPr>
      <w:tblGrid>
        <w:gridCol w:w="1307"/>
        <w:gridCol w:w="2470"/>
        <w:gridCol w:w="2034"/>
        <w:gridCol w:w="2107"/>
      </w:tblGrid>
      <w:tr>
        <w:trPr>
          <w:tblHeader w:val="on"/>
        </w:trPr>
        <w:tc>
          <w:tcPr/>
          <w:p>
            <w:pPr>
              <w:pStyle w:val="Compact"/>
            </w:pPr>
            <w:r>
              <w:t xml:space="preserve">Seed, 100 papers</w:t>
            </w:r>
          </w:p>
        </w:tc>
        <w:tc>
          <w:tcPr/>
          <w:p>
            <w:pPr>
              <w:pStyle w:val="Compact"/>
              <w:jc w:val="right"/>
            </w:pPr>
            <w:r>
              <w:t xml:space="preserve">PageRank share of a top-ten score</w:t>
            </w:r>
          </w:p>
        </w:tc>
        <w:tc>
          <w:tcPr/>
          <w:p>
            <w:pPr>
              <w:pStyle w:val="Compact"/>
              <w:jc w:val="right"/>
            </w:pPr>
            <w:r>
              <w:t xml:space="preserve">Top ten changed by the fix</w:t>
            </w:r>
          </w:p>
        </w:tc>
        <w:tc>
          <w:tcPr/>
          <w:p>
            <w:pPr>
              <w:pStyle w:val="Compact"/>
            </w:pPr>
            <w:r>
              <w:t xml:space="preserve">Changed by unweighted edges</w:t>
            </w:r>
          </w:p>
        </w:tc>
      </w:tr>
      <w:tr>
        <w:tc>
          <w:tcPr/>
          <w:p>
            <w:pPr>
              <w:pStyle w:val="Compact"/>
            </w:pPr>
            <w:r>
              <w:t xml:space="preserve">COVID-19 in China</w:t>
            </w:r>
          </w:p>
        </w:tc>
        <w:tc>
          <w:tcPr/>
          <w:p>
            <w:pPr>
              <w:pStyle w:val="Compact"/>
              <w:jc w:val="right"/>
            </w:pPr>
            <w:r>
              <w:t xml:space="preserve">1% before, 39% after</w:t>
            </w:r>
          </w:p>
        </w:tc>
        <w:tc>
          <w:tcPr/>
          <w:p>
            <w:pPr>
              <w:pStyle w:val="Compact"/>
              <w:jc w:val="right"/>
            </w:pPr>
            <w:r>
              <w:t xml:space="preserve">3 papers</w:t>
            </w:r>
          </w:p>
        </w:tc>
        <w:tc>
          <w:tcPr/>
          <w:p>
            <w:pPr>
              <w:pStyle w:val="Compact"/>
            </w:pPr>
            <w:r>
              <w:t xml:space="preserve">2 papers</w:t>
            </w:r>
          </w:p>
        </w:tc>
      </w:tr>
      <w:tr>
        <w:tc>
          <w:tcPr/>
          <w:p>
            <w:pPr>
              <w:pStyle w:val="Compact"/>
            </w:pPr>
            <w:r>
              <w:t xml:space="preserve">AlphaFold</w:t>
            </w:r>
          </w:p>
        </w:tc>
        <w:tc>
          <w:tcPr/>
          <w:p>
            <w:pPr>
              <w:pStyle w:val="Compact"/>
              <w:jc w:val="right"/>
            </w:pPr>
            <w:r>
              <w:t xml:space="preserve">1% before, 58% after</w:t>
            </w:r>
          </w:p>
        </w:tc>
        <w:tc>
          <w:tcPr/>
          <w:p>
            <w:pPr>
              <w:pStyle w:val="Compact"/>
              <w:jc w:val="right"/>
            </w:pPr>
            <w:r>
              <w:t xml:space="preserve">none</w:t>
            </w:r>
          </w:p>
        </w:tc>
        <w:tc>
          <w:tcPr/>
          <w:p>
            <w:pPr>
              <w:pStyle w:val="Compact"/>
            </w:pPr>
            <w:r>
              <w:t xml:space="preserve">none</w:t>
            </w:r>
          </w:p>
        </w:tc>
      </w:tr>
      <w:tr>
        <w:tc>
          <w:tcPr/>
          <w:p>
            <w:pPr>
              <w:pStyle w:val="Compact"/>
            </w:pPr>
            <w:r>
              <w:t xml:space="preserve">Dapagliflozin in heart failure</w:t>
            </w:r>
          </w:p>
        </w:tc>
        <w:tc>
          <w:tcPr/>
          <w:p>
            <w:pPr>
              <w:pStyle w:val="Compact"/>
              <w:jc w:val="right"/>
            </w:pPr>
            <w:r>
              <w:t xml:space="preserve">1% before, 44% after</w:t>
            </w:r>
          </w:p>
        </w:tc>
        <w:tc>
          <w:tcPr/>
          <w:p>
            <w:pPr>
              <w:pStyle w:val="Compact"/>
              <w:jc w:val="right"/>
            </w:pPr>
            <w:r>
              <w:t xml:space="preserve">4 papers</w:t>
            </w:r>
          </w:p>
        </w:tc>
        <w:tc>
          <w:tcPr/>
          <w:p>
            <w:pPr>
              <w:pStyle w:val="Compact"/>
            </w:pPr>
            <w:r>
              <w:t xml:space="preserve">order only</w:t>
            </w:r>
          </w:p>
        </w:tc>
      </w:tr>
    </w:tbl>
    <w:p>
      <w:pPr>
        <w:pStyle w:val="BodyText"/>
      </w:pPr>
      <w:r>
        <w:t xml:space="preserve">The weighting now reaches the ranking, but its effect is modest: it changes</w:t>
      </w:r>
      <w:r>
        <w:t xml:space="preserve"> </w:t>
      </w:r>
      <w:r>
        <w:t xml:space="preserve">which papers make the top ten for one seed in three. Three tests in</w:t>
      </w:r>
      <w:r>
        <w:t xml:space="preserve"> </w:t>
      </w:r>
      <w:r>
        <w:rPr>
          <w:rStyle w:val="VerbatimChar"/>
        </w:rPr>
        <w:t xml:space="preserve">tests/test_ranking.py</w:t>
      </w:r>
      <w:r>
        <w:t xml:space="preserve"> </w:t>
      </w:r>
      <w:r>
        <w:t xml:space="preserve">hold the fix in place, and each fails on the old</w:t>
      </w:r>
      <w:r>
        <w:t xml:space="preserve"> </w:t>
      </w:r>
      <w:r>
        <w:t xml:space="preserve">formula: a paper every other paper cites must outrank an older paper nobody</w:t>
      </w:r>
      <w:r>
        <w:t xml:space="preserve"> </w:t>
      </w:r>
      <w:r>
        <w:t xml:space="preserve">cites, edges carrying more evidence must lift the paper they point to, and the</w:t>
      </w:r>
      <w:r>
        <w:t xml:space="preserve"> </w:t>
      </w:r>
      <w:r>
        <w:t xml:space="preserve">seed must not appear in its own ranking.</w:t>
      </w:r>
    </w:p>
    <w:bookmarkEnd w:id="148"/>
    <w:bookmarkEnd w:id="149"/>
    <w:bookmarkStart w:id="150"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50"/>
    <w:bookmarkStart w:id="151"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1"/>
    <w:bookmarkStart w:id="152"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2"/>
    <w:bookmarkStart w:id="153"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3"/>
    <w:bookmarkEnd w:id="154"/>
    <w:bookmarkStart w:id="165"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6"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5"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5"/>
    <w:bookmarkEnd w:id="156"/>
    <w:bookmarkStart w:id="157"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7"/>
    <w:bookmarkStart w:id="162"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8"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8"/>
    <w:bookmarkStart w:id="159"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9"/>
    <w:bookmarkStart w:id="160"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60"/>
    <w:bookmarkStart w:id="161"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1"/>
    <w:bookmarkEnd w:id="162"/>
    <w:bookmarkStart w:id="163"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3"/>
    <w:bookmarkStart w:id="164"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4"/>
    <w:bookmarkEnd w:id="165"/>
    <w:bookmarkStart w:id="187"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9" w:name="gold-standard"/>
    <w:p>
      <w:pPr>
        <w:pStyle w:val="Heading2"/>
      </w:pPr>
      <w:r>
        <w:t xml:space="preserve">6.1 Gold Standard</w:t>
      </w:r>
    </w:p>
    <w:bookmarkStart w:id="166"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6"/>
    <w:bookmarkStart w:id="167"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7"/>
    <w:bookmarkStart w:id="168"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8"/>
    <w:bookmarkEnd w:id="169"/>
    <w:bookmarkStart w:id="170"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70"/>
    <w:bookmarkStart w:id="171"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1"/>
    <w:bookmarkStart w:id="176" w:name="population-extraction-1"/>
    <w:p>
      <w:pPr>
        <w:pStyle w:val="Heading2"/>
      </w:pPr>
      <w:r>
        <w:t xml:space="preserve">6.4 Population Extraction</w:t>
      </w:r>
    </w:p>
    <w:bookmarkStart w:id="172"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2"/>
    <w:bookmarkStart w:id="173"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3"/>
    <w:bookmarkStart w:id="174"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4"/>
    <w:bookmarkStart w:id="175"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5"/>
    <w:bookmarkEnd w:id="176"/>
    <w:bookmarkStart w:id="177"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Seeded with the 2021 AlphaFold paper, the system</w:t>
      </w:r>
      <w:r>
        <w:t xml:space="preserve"> </w:t>
      </w:r>
      <w:r>
        <w:t xml:space="preserve">ranks Anfinsen's 1973</w:t>
      </w:r>
      <w:r>
        <w:t xml:space="preserve"> </w:t>
      </w:r>
      <w:r>
        <w:rPr>
          <w:i/>
          <w:iCs/>
        </w:rPr>
        <w:t xml:space="preserve">"Principles that Govern the Folding of Protein Chains"</w:t>
      </w:r>
      <w:r>
        <w:t xml:space="preserve">,</w:t>
      </w:r>
      <w:r>
        <w:t xml:space="preserve"> </w:t>
      </w:r>
      <w:r>
        <w:t xml:space="preserve">the work that founded the protein-folding problem, among its top two</w:t>
      </w:r>
      <w:r>
        <w:t xml:space="preserve"> </w:t>
      </w:r>
      <w:r>
        <w:t xml:space="preserve">foundational papers. That is the behaviour the design intends, but it is weaker</w:t>
      </w:r>
      <w:r>
        <w:t xml:space="preserve"> </w:t>
      </w:r>
      <w:r>
        <w:t xml:space="preserve">evidence than it looks. Anfinsen's paper ties on every term with the 1993 paper</w:t>
      </w:r>
      <w:r>
        <w:t xml:space="preserve"> </w:t>
      </w:r>
      <w:r>
        <w:t xml:space="preserve">listed above it: most of that graph's references are cited only by the seed, so</w:t>
      </w:r>
      <w:r>
        <w:t xml:space="preserve"> </w:t>
      </w:r>
      <w:r>
        <w:t xml:space="preserve">PageRank cannot separate them, and the age term stops growing at twenty years.</w:t>
      </w:r>
      <w:r>
        <w:t xml:space="preserve"> </w:t>
      </w:r>
      <w:r>
        <w:t xml:space="preserve">The comparison against unweighted PageRank has now been run (Section 5.6.4). It</w:t>
      </w:r>
      <w:r>
        <w:t xml:space="preserve"> </w:t>
      </w:r>
      <w:r>
        <w:t xml:space="preserve">first showed that the weighting did not reach the ranking at all, and after the</w:t>
      </w:r>
      <w:r>
        <w:t xml:space="preserve"> </w:t>
      </w:r>
      <w:r>
        <w:t xml:space="preserve">fix it changes the top ten for one seed in three. No relevance judgement study</w:t>
      </w:r>
      <w:r>
        <w:t xml:space="preserve"> </w:t>
      </w:r>
      <w:r>
        <w:t xml:space="preserve">was conducted, so whether those changes are improvements is unknown; Section</w:t>
      </w:r>
      <w:r>
        <w:t xml:space="preserve"> </w:t>
      </w:r>
      <w:r>
        <w:t xml:space="preserve">7.3 records this as the principal unaddressed question.</w:t>
      </w:r>
    </w:p>
    <w:bookmarkEnd w:id="177"/>
    <w:bookmarkStart w:id="184" w:name="performance"/>
    <w:p>
      <w:pPr>
        <w:pStyle w:val="Heading2"/>
      </w:pPr>
      <w:r>
        <w:t xml:space="preserve">6.6 Performance</w:t>
      </w:r>
    </w:p>
    <w:bookmarkStart w:id="178"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8"/>
    <w:bookmarkStart w:id="179"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9"/>
    <w:bookmarkStart w:id="180"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80"/>
    <w:bookmarkStart w:id="181"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1"/>
    <w:bookmarkStart w:id="182"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2"/>
    <w:bookmarkStart w:id="183"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3"/>
    <w:bookmarkEnd w:id="184"/>
    <w:bookmarkStart w:id="185"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5"/>
    <w:bookmarkStart w:id="186"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6"/>
    <w:bookmarkEnd w:id="187"/>
    <w:bookmarkStart w:id="193" w:name="chapter-6-continued-extended-analysis"/>
    <w:p>
      <w:pPr>
        <w:pStyle w:val="Heading1"/>
      </w:pPr>
      <w:r>
        <w:t xml:space="preserve">Chapter 6 (continued): Extended Analysis</w:t>
      </w:r>
    </w:p>
    <w:bookmarkStart w:id="188"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8"/>
    <w:bookmarkStart w:id="189"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9"/>
    <w:bookmarkStart w:id="190"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90"/>
    <w:bookmarkStart w:id="191"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1"/>
    <w:bookmarkStart w:id="192"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2"/>
    <w:bookmarkEnd w:id="193"/>
    <w:bookmarkStart w:id="205" w:name="Xc33201fe9a80468fe0b2bbb1225d9292ff28d0b"/>
    <w:p>
      <w:pPr>
        <w:pStyle w:val="Heading1"/>
      </w:pPr>
      <w:r>
        <w:t xml:space="preserve">Chapter 6 (continued): Reading Participant-Flow Diagrams</w:t>
      </w:r>
    </w:p>
    <w:bookmarkStart w:id="204" w:name="X3c4c3180bf7a0006e16ce8925c409ba37278c41"/>
    <w:p>
      <w:pPr>
        <w:pStyle w:val="Heading2"/>
      </w:pPr>
      <w:r>
        <w:t xml:space="preserve">6.14 A computer-vision reader for CONSORT flow diagrams</w:t>
      </w:r>
    </w:p>
    <w:bookmarkStart w:id="194"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4"/>
    <w:bookmarkStart w:id="198"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6" name="Picture"/>
            <a:graphic>
              <a:graphicData uri="http://schemas.openxmlformats.org/drawingml/2006/picture">
                <pic:pic>
                  <pic:nvPicPr>
                    <pic:cNvPr descr="figures/flow_reader_example.png" id="197" name="Picture"/>
                    <pic:cNvPicPr>
                      <a:picLocks noChangeArrowheads="1" noChangeAspect="1"/>
                    </pic:cNvPicPr>
                  </pic:nvPicPr>
                  <pic:blipFill>
                    <a:blip r:embed="rId195"/>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8"/>
    <w:bookmarkStart w:id="199"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 Section</w:t>
      </w:r>
      <w:r>
        <w:t xml:space="preserve"> </w:t>
      </w:r>
      <w:r>
        <w:t xml:space="preserve">6.14.7 reports a blind second reading of it.</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9"/>
    <w:bookmarkStart w:id="200"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200"/>
    <w:bookmarkStart w:id="201"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1"/>
    <w:bookmarkStart w:id="202"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A blind second reading by two other models (Section</w:t>
      </w:r>
      <w:r>
        <w:t xml:space="preserve"> </w:t>
      </w:r>
      <w:r>
        <w:t xml:space="preserve">6.14.7) found no number in them that the image contradicts, but no human has</w:t>
      </w:r>
      <w:r>
        <w:t xml:space="preserve"> </w:t>
      </w:r>
      <w:r>
        <w:t xml:space="preserve">checked them, and the disagreements were settled by the assistant that wrote</w:t>
      </w:r>
      <w:r>
        <w:t xml:space="preserve"> </w:t>
      </w:r>
      <w:r>
        <w:t xml:space="preserve">the keys. Section 3.5.4's concern about single-annotator gold standards</w:t>
      </w:r>
      <w:r>
        <w:t xml:space="preserve"> </w:t>
      </w:r>
      <w:r>
        <w:t xml:space="preserve">therefore still applies, in a narrower form.</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2"/>
    <w:bookmarkStart w:id="203" w:name="X41e69e4e11371ea47e4cf040641a4b2e2061fd1"/>
    <w:p>
      <w:pPr>
        <w:pStyle w:val="Heading3"/>
      </w:pPr>
      <w:r>
        <w:t xml:space="preserve">6.14.7 A second, blind reading of the answer keys</w:t>
      </w:r>
    </w:p>
    <w:p>
      <w:pPr>
        <w:pStyle w:val="FirstParagraph"/>
      </w:pPr>
      <w:r>
        <w:t xml:space="preserve">Every answer key above was written by one annotator, the AI assistant that</w:t>
      </w:r>
      <w:r>
        <w:t xml:space="preserve"> </w:t>
      </w:r>
      <w:r>
        <w:t xml:space="preserve">built the reader, so a second reading was obtained from models of a different</w:t>
      </w:r>
      <w:r>
        <w:t xml:space="preserve"> </w:t>
      </w:r>
      <w:r>
        <w:t xml:space="preserve">family. Each figure went to the second reader in a new conversation with the</w:t>
      </w:r>
      <w:r>
        <w:t xml:space="preserve"> </w:t>
      </w:r>
      <w:r>
        <w:t xml:space="preserve">written stage definitions and nothing else: no key, no notes and no reader</w:t>
      </w:r>
      <w:r>
        <w:t xml:space="preserve"> </w:t>
      </w:r>
      <w:r>
        <w:t xml:space="preserve">output (</w:t>
      </w:r>
      <w:r>
        <w:rPr>
          <w:rStyle w:val="VerbatimChar"/>
        </w:rPr>
        <w:t xml:space="preserve">scripts/second_annotator.py</w:t>
      </w:r>
      <w:r>
        <w:t xml:space="preserve">). Qwen read 40 figures before reaching</w:t>
      </w:r>
      <w:r>
        <w:t xml:space="preserve"> </w:t>
      </w:r>
      <w:r>
        <w:t xml:space="preserve">its daily limit and ChatGPT read the remaining 39, so every figure has a second</w:t>
      </w:r>
      <w:r>
        <w:t xml:space="preserve"> </w:t>
      </w:r>
      <w:r>
        <w:t xml:space="preserve">reading. One figure needed the attachment re-encoded: ChatGPT's upload took the</w:t>
      </w:r>
      <w:r>
        <w:t xml:space="preserve"> </w:t>
      </w:r>
      <w:r>
        <w:t xml:space="preserve">JPEG and returned no reply, four times over, while Qwen read the same file and</w:t>
      </w:r>
      <w:r>
        <w:t xml:space="preserve"> </w:t>
      </w:r>
      <w:r>
        <w:t xml:space="preserve">ChatGPT read the same figure as a PNG, which is the difference the script now</w:t>
      </w:r>
      <w:r>
        <w:t xml:space="preserve"> </w:t>
      </w:r>
      <w:r>
        <w:t xml:space="preserve">acts on rather than recording a blank answer. The readings are pooled below and</w:t>
      </w:r>
      <w:r>
        <w:t xml:space="preserve"> </w:t>
      </w:r>
      <w:r>
        <w:t xml:space="preserve">kept apart in the evidence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Second reader</w:t>
            </w:r>
          </w:p>
        </w:tc>
        <w:tc>
          <w:tcPr/>
          <w:p>
            <w:pPr>
              <w:pStyle w:val="Compact"/>
              <w:jc w:val="right"/>
            </w:pPr>
            <w:r>
              <w:t xml:space="preserve">Figures</w:t>
            </w:r>
          </w:p>
        </w:tc>
        <w:tc>
          <w:tcPr/>
          <w:p>
            <w:pPr>
              <w:pStyle w:val="Compact"/>
              <w:jc w:val="right"/>
            </w:pPr>
            <w:r>
              <w:t xml:space="preserve">Stage values</w:t>
            </w:r>
          </w:p>
        </w:tc>
        <w:tc>
          <w:tcPr/>
          <w:p>
            <w:pPr>
              <w:pStyle w:val="Compact"/>
              <w:jc w:val="right"/>
            </w:pPr>
            <w:r>
              <w:t xml:space="preserve">Agreed with the key</w:t>
            </w:r>
          </w:p>
        </w:tc>
      </w:tr>
      <w:tr>
        <w:tc>
          <w:tcPr/>
          <w:p>
            <w:pPr>
              <w:pStyle w:val="Compact"/>
            </w:pPr>
            <w:r>
              <w:t xml:space="preserve">Qwen</w:t>
            </w:r>
          </w:p>
        </w:tc>
        <w:tc>
          <w:tcPr/>
          <w:p>
            <w:pPr>
              <w:pStyle w:val="Compact"/>
              <w:jc w:val="right"/>
            </w:pPr>
            <w:r>
              <w:t xml:space="preserve">40</w:t>
            </w:r>
          </w:p>
        </w:tc>
        <w:tc>
          <w:tcPr/>
          <w:p>
            <w:pPr>
              <w:pStyle w:val="Compact"/>
              <w:jc w:val="right"/>
            </w:pPr>
            <w:r>
              <w:t xml:space="preserve">153</w:t>
            </w:r>
          </w:p>
        </w:tc>
        <w:tc>
          <w:tcPr/>
          <w:p>
            <w:pPr>
              <w:pStyle w:val="Compact"/>
              <w:jc w:val="right"/>
            </w:pPr>
            <w:r>
              <w:t xml:space="preserve">135 (88%)</w:t>
            </w:r>
          </w:p>
        </w:tc>
      </w:tr>
      <w:tr>
        <w:tc>
          <w:tcPr/>
          <w:p>
            <w:pPr>
              <w:pStyle w:val="Compact"/>
            </w:pPr>
            <w:r>
              <w:t xml:space="preserve">ChatGPT</w:t>
            </w:r>
          </w:p>
        </w:tc>
        <w:tc>
          <w:tcPr/>
          <w:p>
            <w:pPr>
              <w:pStyle w:val="Compact"/>
              <w:jc w:val="right"/>
            </w:pPr>
            <w:r>
              <w:t xml:space="preserve">39</w:t>
            </w:r>
          </w:p>
        </w:tc>
        <w:tc>
          <w:tcPr/>
          <w:p>
            <w:pPr>
              <w:pStyle w:val="Compact"/>
              <w:jc w:val="right"/>
            </w:pPr>
            <w:r>
              <w:t xml:space="preserve">152</w:t>
            </w:r>
          </w:p>
        </w:tc>
        <w:tc>
          <w:tcPr/>
          <w:p>
            <w:pPr>
              <w:pStyle w:val="Compact"/>
              <w:jc w:val="right"/>
            </w:pPr>
            <w:r>
              <w:t xml:space="preserve">144 (95%)</w:t>
            </w:r>
          </w:p>
        </w:tc>
      </w:tr>
      <w:tr>
        <w:tc>
          <w:tcPr/>
          <w:p>
            <w:pPr>
              <w:pStyle w:val="Compact"/>
            </w:pPr>
            <w:r>
              <w:t xml:space="preserve">Both</w:t>
            </w:r>
          </w:p>
        </w:tc>
        <w:tc>
          <w:tcPr/>
          <w:p>
            <w:pPr>
              <w:pStyle w:val="Compact"/>
              <w:jc w:val="right"/>
            </w:pPr>
            <w:r>
              <w:t xml:space="preserve">79</w:t>
            </w:r>
          </w:p>
        </w:tc>
        <w:tc>
          <w:tcPr/>
          <w:p>
            <w:pPr>
              <w:pStyle w:val="Compact"/>
              <w:jc w:val="right"/>
            </w:pPr>
            <w:r>
              <w:t xml:space="preserve">305</w:t>
            </w:r>
          </w:p>
        </w:tc>
        <w:tc>
          <w:tcPr/>
          <w:p>
            <w:pPr>
              <w:pStyle w:val="Compact"/>
              <w:jc w:val="right"/>
            </w:pPr>
            <w:r>
              <w:t xml:space="preserve">279 (91%)</w:t>
            </w:r>
          </w:p>
        </w:tc>
      </w:tr>
    </w:tbl>
    <w:p>
      <w:pPr>
        <w:pStyle w:val="BodyText"/>
      </w:pPr>
      <w:r>
        <w:t xml:space="preserve">Each of the 26 disagreements was settled by looking at the image, and none</w:t>
      </w:r>
      <w:r>
        <w:t xml:space="preserve"> </w:t>
      </w:r>
      <w:r>
        <w:t xml:space="preserve">showed a number in the key that the figure contradicts. Ten were the second</w:t>
      </w:r>
      <w:r>
        <w:t xml:space="preserve"> </w:t>
      </w:r>
      <w:r>
        <w:t xml:space="preserve">reader's errors. In two figures Qwen reported counts that appear nowhere in the</w:t>
      </w:r>
      <w:r>
        <w:t xml:space="preserve"> </w:t>
      </w:r>
      <w:r>
        <w:t xml:space="preserve">image, 145, 100 and 98 for a diagram that prints 67, 60 and 60; in one it</w:t>
      </w:r>
      <w:r>
        <w:t xml:space="preserve"> </w:t>
      </w:r>
      <w:r>
        <w:t xml:space="preserve">answered nothing although the upload had succeeded; and ChatGPT once added</w:t>
      </w:r>
      <w:r>
        <w:t xml:space="preserve"> </w:t>
      </w:r>
      <w:r>
        <w:t xml:space="preserve">educators and students into a single total. The other sixteen are cases the</w:t>
      </w:r>
      <w:r>
        <w:t xml:space="preserve"> </w:t>
      </w:r>
      <w:r>
        <w:t xml:space="preserve">definitions do not settle, and they recur in four forms: a top box that names a</w:t>
      </w:r>
      <w:r>
        <w:t xml:space="preserve"> </w:t>
      </w:r>
      <w:r>
        <w:t xml:space="preserve">cohort without saying it was screened, a flow that ends at an assessment or</w:t>
      </w:r>
      <w:r>
        <w:t xml:space="preserve"> </w:t>
      </w:r>
      <w:r>
        <w:t xml:space="preserve">follow-up rather than a stage labelled analysed, a cluster trial that</w:t>
      </w:r>
      <w:r>
        <w:t xml:space="preserve"> </w:t>
      </w:r>
      <w:r>
        <w:t xml:space="preserve">randomises centres and counts people, and repeated analysis rows, where the</w:t>
      </w:r>
      <w:r>
        <w:t xml:space="preserve"> </w:t>
      </w:r>
      <w:r>
        <w:t xml:space="preserve">definition's "first-listed analysis" gives 224 and the key took the final row,</w:t>
      </w:r>
      <w:r>
        <w:t xml:space="preserve"> </w:t>
      </w:r>
      <w:r>
        <w:t xml:space="preserve">213. Those four forms, not misread numbers, are where the key needs a firmer</w:t>
      </w:r>
      <w:r>
        <w:t xml:space="preserve"> </w:t>
      </w:r>
      <w:r>
        <w:t xml:space="preserve">rule.</w:t>
      </w:r>
    </w:p>
    <w:p>
      <w:pPr>
        <w:pStyle w:val="BodyText"/>
      </w:pPr>
      <w:r>
        <w:t xml:space="preserve">Setting the sixteen aside as unscored moves the reader's held-out result from</w:t>
      </w:r>
      <w:r>
        <w:t xml:space="preserve"> </w:t>
      </w:r>
      <w:r>
        <w:t xml:space="preserve">61 of 69 to 59 of 67, with the text method right on 2 in both, and the second</w:t>
      </w:r>
      <w:r>
        <w:t xml:space="preserve"> </w:t>
      </w:r>
      <w:r>
        <w:t xml:space="preserve">development set from 50 of 53 to 49 of 52. The conclusion of Section 6.14.4</w:t>
      </w:r>
      <w:r>
        <w:t xml:space="preserve"> </w:t>
      </w:r>
      <w:r>
        <w:t xml:space="preserve">does not change. The result is still reported on the original key, because that</w:t>
      </w:r>
      <w:r>
        <w:t xml:space="preserve"> </w:t>
      </w:r>
      <w:r>
        <w:t xml:space="preserve">key was committed before the reader saw the figures.</w:t>
      </w:r>
    </w:p>
    <w:p>
      <w:pPr>
        <w:pStyle w:val="BodyText"/>
      </w:pPr>
      <w:r>
        <w:t xml:space="preserve">Two limits apply. The disagreements were settled by the annotator who wrote the</w:t>
      </w:r>
      <w:r>
        <w:t xml:space="preserve"> </w:t>
      </w:r>
      <w:r>
        <w:t xml:space="preserve">key, so the adjudication is not independent; every decision is listed with its</w:t>
      </w:r>
      <w:r>
        <w:t xml:space="preserve"> </w:t>
      </w:r>
      <w:r>
        <w:t xml:space="preserve">reason in</w:t>
      </w:r>
      <w:r>
        <w:t xml:space="preserve"> </w:t>
      </w:r>
      <w:r>
        <w:rPr>
          <w:rStyle w:val="VerbatimChar"/>
        </w:rPr>
        <w:t xml:space="preserve">thesis/evidence/flow_diagrams/adjudication.json</w:t>
      </w:r>
      <w:r>
        <w:t xml:space="preserve">, 26 entries a</w:t>
      </w:r>
      <w:r>
        <w:t xml:space="preserve"> </w:t>
      </w:r>
      <w:r>
        <w:t xml:space="preserve">reviewer can check against the images. And the second reader is itself a</w:t>
      </w:r>
      <w:r>
        <w:t xml:space="preserve"> </w:t>
      </w:r>
      <w:r>
        <w:t xml:space="preserve">model, one that invented plausible counts for 2 of the 79 figures, so agreement</w:t>
      </w:r>
      <w:r>
        <w:t xml:space="preserve"> </w:t>
      </w:r>
      <w:r>
        <w:t xml:space="preserve">with it is evidence about the key rather than a substitute for a human check.</w:t>
      </w:r>
    </w:p>
    <w:bookmarkEnd w:id="203"/>
    <w:bookmarkEnd w:id="204"/>
    <w:bookmarkEnd w:id="205"/>
    <w:bookmarkStart w:id="220" w:name="chapter-7-discussion"/>
    <w:p>
      <w:pPr>
        <w:pStyle w:val="Heading1"/>
      </w:pPr>
      <w:r>
        <w:t xml:space="preserve">Chapter 7: Discussion</w:t>
      </w:r>
    </w:p>
    <w:bookmarkStart w:id="210" w:name="interpretation-of-results"/>
    <w:p>
      <w:pPr>
        <w:pStyle w:val="Heading2"/>
      </w:pPr>
      <w:r>
        <w:t xml:space="preserve">7.1 Interpretation of Results</w:t>
      </w:r>
    </w:p>
    <w:bookmarkStart w:id="206"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6"/>
    <w:bookmarkStart w:id="207"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7"/>
    <w:bookmarkStart w:id="208"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8"/>
    <w:bookmarkStart w:id="209"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9"/>
    <w:bookmarkEnd w:id="210"/>
    <w:bookmarkStart w:id="211"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11"/>
    <w:bookmarkStart w:id="216" w:name="threats-to-validity"/>
    <w:p>
      <w:pPr>
        <w:pStyle w:val="Heading2"/>
      </w:pPr>
      <w:r>
        <w:t xml:space="preserve">7.3 Threats to Validity</w:t>
      </w:r>
    </w:p>
    <w:bookmarkStart w:id="212"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2"/>
    <w:bookmarkStart w:id="213"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3"/>
    <w:bookmarkStart w:id="214"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4"/>
    <w:bookmarkStart w:id="215" w:name="conclusion-validity"/>
    <w:p>
      <w:pPr>
        <w:pStyle w:val="Heading3"/>
      </w:pPr>
      <w:r>
        <w:t xml:space="preserve">7.3.4 Conclusion validity</w:t>
      </w:r>
    </w:p>
    <w:p>
      <w:pPr>
        <w:pStyle w:val="FirstParagraph"/>
      </w:pPr>
      <w:r>
        <w:rPr>
          <w:b/>
          <w:bCs/>
        </w:rPr>
        <w:t xml:space="preserve">No judgement of ranking quality.</w:t>
      </w:r>
      <w:r>
        <w:t xml:space="preserve"> </w:t>
      </w:r>
      <w:r>
        <w:t xml:space="preserve">The central question, does</w:t>
      </w:r>
      <w:r>
        <w:t xml:space="preserve"> </w:t>
      </w:r>
      <w:r>
        <w:t xml:space="preserve">evidence-weighted ranking outperform unweighted PageRank?, is only half tested.</w:t>
      </w:r>
      <w:r>
        <w:t xml:space="preserve"> </w:t>
      </w:r>
      <w:r>
        <w:t xml:space="preserve">The structural comparison was run late, and it first showed that a scale fault</w:t>
      </w:r>
      <w:r>
        <w:t xml:space="preserve"> </w:t>
      </w:r>
      <w:r>
        <w:t xml:space="preserve">kept the weighting from affecting the ranking at all (Section 5.6.4). After the</w:t>
      </w:r>
      <w:r>
        <w:t xml:space="preserve"> </w:t>
      </w:r>
      <w:r>
        <w:t xml:space="preserve">fix, the weighting changes the top ten for one seed in three. No human</w:t>
      </w:r>
      <w:r>
        <w:t xml:space="preserve"> </w:t>
      </w:r>
      <w:r>
        <w:t xml:space="preserve">relevance judgements were collected, so nobody has judged whether those changes</w:t>
      </w:r>
      <w:r>
        <w:t xml:space="preserve"> </w:t>
      </w:r>
      <w:r>
        <w:t xml:space="preserve">are improvements, and the AlphaFold-to-Anfinsen result in Section 6.5 turned</w:t>
      </w:r>
      <w:r>
        <w:t xml:space="preserve"> </w:t>
      </w:r>
      <w:r>
        <w:t xml:space="preserve">out to be a tie. This thesis therefore demonstrates that evidence-weighted</w:t>
      </w:r>
      <w:r>
        <w:t xml:space="preserve"> </w:t>
      </w:r>
      <w:r>
        <w:t xml:space="preserve">ranking</w:t>
      </w:r>
      <w:r>
        <w:t xml:space="preserve"> </w:t>
      </w:r>
      <w:r>
        <w:rPr>
          <w:i/>
          <w:iCs/>
        </w:rPr>
        <w:t xml:space="preserve">can be computed</w:t>
      </w:r>
      <w:r>
        <w:t xml:space="preserve"> </w:t>
      </w:r>
      <w:r>
        <w:t xml:space="preserve">and now</w:t>
      </w:r>
      <w:r>
        <w:t xml:space="preserve"> </w:t>
      </w:r>
      <w:r>
        <w:rPr>
          <w:i/>
          <w:iCs/>
        </w:rPr>
        <w:t xml:space="preserve">changes the output</w:t>
      </w:r>
      <w:r>
        <w:t xml:space="preserve">, not that it is better.</w:t>
      </w:r>
      <w:r>
        <w:t xml:space="preserve"> </w:t>
      </w:r>
      <w:r>
        <w:t xml:space="preserve">That is the most significant unaddressed question in the work.</w:t>
      </w:r>
    </w:p>
    <w:bookmarkEnd w:id="215"/>
    <w:bookmarkEnd w:id="216"/>
    <w:bookmarkStart w:id="217"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7"/>
    <w:bookmarkStart w:id="218"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8"/>
    <w:bookmarkStart w:id="219"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9"/>
    <w:bookmarkEnd w:id="220"/>
    <w:bookmarkStart w:id="234" w:name="chapter-8-conclusion-and-future-work"/>
    <w:p>
      <w:pPr>
        <w:pStyle w:val="Heading1"/>
      </w:pPr>
      <w:r>
        <w:t xml:space="preserve">Chapter 8: Conclusion and Future Work</w:t>
      </w:r>
    </w:p>
    <w:bookmarkStart w:id="221"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and</w:t>
      </w:r>
      <w:r>
        <w:t xml:space="preserve"> </w:t>
      </w:r>
      <w:r>
        <w:t xml:space="preserve">for most of the project the weighting did not reach the ranking at all. When</w:t>
      </w:r>
      <w:r>
        <w:t xml:space="preserve"> </w:t>
      </w:r>
      <w:r>
        <w:t xml:space="preserve">the comparison against unweighted PageRank was finally run, PageRank on its raw</w:t>
      </w:r>
      <w:r>
        <w:t xml:space="preserve"> </w:t>
      </w:r>
      <w:r>
        <w:t xml:space="preserve">scale supplied about 1% of a top paper's score, so the evidence-weighted edges</w:t>
      </w:r>
      <w:r>
        <w:t xml:space="preserve"> </w:t>
      </w:r>
      <w:r>
        <w:t xml:space="preserve">changed nothing the user saw (Section 5.6.4). With the scale fixed, the</w:t>
      </w:r>
      <w:r>
        <w:t xml:space="preserve"> </w:t>
      </w:r>
      <w:r>
        <w:t xml:space="preserve">weighting changes the top ten for one seed in three. Seeded with the 2021</w:t>
      </w:r>
      <w:r>
        <w:t xml:space="preserve"> </w:t>
      </w:r>
      <w:r>
        <w:t xml:space="preserve">AlphaFold paper, the system places Anfinsen's 1973 paper founding the</w:t>
      </w:r>
      <w:r>
        <w:t xml:space="preserve"> </w:t>
      </w:r>
      <w:r>
        <w:t xml:space="preserve">protein-folding problem in its top two, though tied with the paper above it.</w:t>
      </w:r>
      <w:r>
        <w:t xml:space="preserve"> </w:t>
      </w:r>
      <w:r>
        <w:t xml:space="preserve">This thesis shows the ranking</w:t>
      </w:r>
      <w:r>
        <w:t xml:space="preserve"> </w:t>
      </w:r>
      <w:r>
        <w:rPr>
          <w:i/>
          <w:iCs/>
        </w:rPr>
        <w:t xml:space="preserve">can be computed</w:t>
      </w:r>
      <w:r>
        <w:t xml:space="preserve"> </w:t>
      </w:r>
      <w:r>
        <w:t xml:space="preserve">and now</w:t>
      </w:r>
      <w:r>
        <w:t xml:space="preserve"> </w:t>
      </w:r>
      <w:r>
        <w:rPr>
          <w:i/>
          <w:iCs/>
        </w:rPr>
        <w:t xml:space="preserve">responds to the</w:t>
      </w:r>
      <w:r>
        <w:rPr>
          <w:i/>
          <w:iCs/>
        </w:rPr>
        <w:t xml:space="preserve"> </w:t>
      </w:r>
      <w:r>
        <w:rPr>
          <w:i/>
          <w:iCs/>
        </w:rPr>
        <w:t xml:space="preserve">evidence</w:t>
      </w:r>
      <w:r>
        <w:t xml:space="preserve">, not that it is better than the unweighted baseline; that needs the</w:t>
      </w:r>
      <w:r>
        <w:t xml:space="preserve"> </w:t>
      </w:r>
      <w:r>
        <w:t xml:space="preserve">relevance judgement study that was not run, and it is the principal unaddressed</w:t>
      </w:r>
      <w:r>
        <w:t xml:space="preserve"> </w:t>
      </w:r>
      <w:r>
        <w:t xml:space="preserve">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21"/>
    <w:bookmarkStart w:id="232" w:name="future-work"/>
    <w:p>
      <w:pPr>
        <w:pStyle w:val="Heading2"/>
      </w:pPr>
      <w:r>
        <w:t xml:space="preserve">8.2 Future Work</w:t>
      </w:r>
    </w:p>
    <w:p>
      <w:pPr>
        <w:pStyle w:val="FirstParagraph"/>
      </w:pPr>
      <w:r>
        <w:t xml:space="preserve">Ordered by expected value relative to cost.</w:t>
      </w:r>
    </w:p>
    <w:bookmarkStart w:id="222"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2"/>
    <w:bookmarkStart w:id="223" w:name="compare-against-an-unweighted-baseline"/>
    <w:p>
      <w:pPr>
        <w:pStyle w:val="Heading3"/>
      </w:pPr>
      <w:r>
        <w:t xml:space="preserve">8.2.2 Compare against an unweighted baseline</w:t>
      </w:r>
    </w:p>
    <w:p>
      <w:pPr>
        <w:pStyle w:val="FirstParagraph"/>
      </w:pPr>
      <w:r>
        <w:t xml:space="preserve">The central unanswered question (§7.3.4). The structural half of this</w:t>
      </w:r>
      <w:r>
        <w:t xml:space="preserve"> </w:t>
      </w:r>
      <w:r>
        <w:t xml:space="preserve">comparison now exists:</w:t>
      </w:r>
      <w:r>
        <w:t xml:space="preserve"> </w:t>
      </w:r>
      <w:r>
        <w:rPr>
          <w:rStyle w:val="VerbatimChar"/>
        </w:rPr>
        <w:t xml:space="preserve">scripts/compare_rankings.py</w:t>
      </w:r>
      <w:r>
        <w:t xml:space="preserve"> </w:t>
      </w:r>
      <w:r>
        <w:t xml:space="preserve">ranks the same graph with</w:t>
      </w:r>
      <w:r>
        <w:t xml:space="preserve"> </w:t>
      </w:r>
      <w:r>
        <w:t xml:space="preserve">and without the evidence weighting, and after the fix of Section 5.6.4 the two</w:t>
      </w:r>
      <w:r>
        <w:t xml:space="preserve"> </w:t>
      </w:r>
      <w:r>
        <w:t xml:space="preserve">differ for one seed in three. The missing half is the judgement: domain readers</w:t>
      </w:r>
      <w:r>
        <w:t xml:space="preserve"> </w:t>
      </w:r>
      <w:r>
        <w:t xml:space="preserve">rating the relevance of both top tens, blind to which is which. Without it the</w:t>
      </w:r>
      <w:r>
        <w:t xml:space="preserve"> </w:t>
      </w:r>
      <w:r>
        <w:t xml:space="preserve">system's core premise is plausible but untested, and this is the first</w:t>
      </w:r>
      <w:r>
        <w:t xml:space="preserve"> </w:t>
      </w:r>
      <w:r>
        <w:t xml:space="preserve">experiment a continuation of this work should run.</w:t>
      </w:r>
    </w:p>
    <w:bookmarkEnd w:id="223"/>
    <w:bookmarkStart w:id="224"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4"/>
    <w:bookmarkStart w:id="225"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5"/>
    <w:bookmarkStart w:id="226"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6"/>
    <w:bookmarkStart w:id="227"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7"/>
    <w:bookmarkStart w:id="228"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8"/>
    <w:bookmarkStart w:id="229"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9"/>
    <w:bookmarkStart w:id="230"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30"/>
    <w:bookmarkStart w:id="231"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31"/>
    <w:bookmarkEnd w:id="232"/>
    <w:bookmarkStart w:id="233"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3"/>
    <w:bookmarkEnd w:id="234"/>
    <w:bookmarkStart w:id="241"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5"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5"/>
    <w:bookmarkStart w:id="236"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6"/>
    <w:bookmarkStart w:id="237"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7"/>
    <w:bookmarkStart w:id="238"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8"/>
    <w:bookmarkStart w:id="239"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9"/>
    <w:bookmarkStart w:id="240" w:name="a.6-post-apirunsrun_idreport"/>
    <w:p>
      <w:pPr>
        <w:pStyle w:val="Heading2"/>
      </w:pPr>
      <w:r>
        <w:t xml:space="preserve">A.6</w:t>
      </w:r>
      <w:r>
        <w:t xml:space="preserve"> </w:t>
      </w:r>
      <w:r>
        <w:rPr>
          <w:rStyle w:val="VerbatimChar"/>
        </w:rPr>
        <w:t xml:space="preserve">POST /api/runs/{run_id}/report</w:t>
      </w:r>
    </w:p>
    <w:p>
      <w:pPr>
        <w:pStyle w:val="FirstParagraph"/>
      </w:pPr>
      <w:r>
        <w:t xml:space="preserve">Writes a narrative overview from a finished run's citation graph, and returns it</w:t>
      </w:r>
      <w:r>
        <w:t xml:space="preserve"> </w:t>
      </w:r>
      <w:r>
        <w:t xml:space="preserve">in the response. Both the ranked papers and the citation edges between them are</w:t>
      </w:r>
      <w:r>
        <w:t xml:space="preserve"> </w:t>
      </w:r>
      <w:r>
        <w:t xml:space="preserve">the evidence; the model is instructed to say a claim is unsupported rather than</w:t>
      </w:r>
      <w:r>
        <w:t xml:space="preserve"> </w:t>
      </w:r>
      <w:r>
        <w:t xml:space="preserve">make it.</w:t>
      </w:r>
    </w:p>
    <w:p>
      <w:pPr>
        <w:pStyle w:val="BodyText"/>
      </w:pPr>
      <w:r>
        <w:t xml:space="preserve">The model is optional. On a deployment without a configured provider — which is</w:t>
      </w:r>
      <w:r>
        <w:t xml:space="preserve"> </w:t>
      </w:r>
      <w:r>
        <w:t xml:space="preserve">the current one — the route returns</w:t>
      </w:r>
      <w:r>
        <w:t xml:space="preserve"> </w:t>
      </w:r>
      <w:r>
        <w:rPr>
          <w:rStyle w:val="VerbatimChar"/>
        </w:rPr>
        <w:t xml:space="preserve">200</w:t>
      </w:r>
      <w:r>
        <w:t xml:space="preserve"> </w:t>
      </w:r>
      <w:r>
        <w:t xml:space="preserve">with</w:t>
      </w:r>
      <w:r>
        <w:t xml:space="preserve"> </w:t>
      </w:r>
      <w:r>
        <w:rPr>
          <w:rStyle w:val="VerbatimChar"/>
        </w:rPr>
        <w:t xml:space="preserve">report: null</w:t>
      </w:r>
      <w:r>
        <w:t xml:space="preserve">,</w:t>
      </w:r>
      <w:r>
        <w:t xml:space="preserve"> </w:t>
      </w:r>
      <w:r>
        <w:rPr>
          <w:rStyle w:val="VerbatimChar"/>
        </w:rPr>
        <w:t xml:space="preserve">source: "none"</w:t>
      </w:r>
      <w:r>
        <w:t xml:space="preserve"> </w:t>
      </w:r>
      <w:r>
        <w:t xml:space="preserve">and a</w:t>
      </w:r>
      <w:r>
        <w:t xml:space="preserve"> </w:t>
      </w:r>
      <w:r>
        <w:rPr>
          <w:rStyle w:val="VerbatimChar"/>
        </w:rPr>
        <w:t xml:space="preserve">reason</w:t>
      </w:r>
      <w:r>
        <w:t xml:space="preserve">, rather than an error. A run is never blocked by the absence of</w:t>
      </w:r>
      <w:r>
        <w:t xml:space="preserve"> </w:t>
      </w:r>
      <w:r>
        <w:t xml:space="preserve">a narrative.</w:t>
      </w:r>
    </w:p>
    <w:p>
      <w:pPr>
        <w:pStyle w:val="BodyText"/>
      </w:pPr>
      <w:r>
        <w:rPr>
          <w:b/>
          <w:bCs/>
        </w:rPr>
        <w:t xml:space="preserve">Request</w:t>
      </w:r>
      <w:r>
        <w:t xml:space="preserve"> </w:t>
      </w:r>
      <w:r>
        <w:t xml:space="preserve">(every field optional)</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question</w:t>
            </w:r>
          </w:p>
        </w:tc>
        <w:tc>
          <w:tcPr/>
          <w:p>
            <w:pPr>
              <w:pStyle w:val="Compact"/>
            </w:pPr>
            <w:r>
              <w:t xml:space="preserve">string</w:t>
            </w:r>
          </w:p>
        </w:tc>
        <w:tc>
          <w:tcPr/>
          <w:p>
            <w:pPr>
              <w:pStyle w:val="Compact"/>
            </w:pPr>
            <w:r>
              <w:t xml:space="preserve">a fixed summary question</w:t>
            </w:r>
          </w:p>
        </w:tc>
        <w:tc>
          <w:tcPr/>
          <w:p>
            <w:pPr>
              <w:pStyle w:val="Compact"/>
            </w:pPr>
            <w:r>
              <w:t xml:space="preserve">1–2000 characters</w:t>
            </w:r>
          </w:p>
        </w:tc>
      </w:tr>
      <w:tr>
        <w:tc>
          <w:tcPr/>
          <w:p>
            <w:pPr>
              <w:pStyle w:val="Compact"/>
            </w:pPr>
            <w:r>
              <w:rPr>
                <w:rStyle w:val="VerbatimChar"/>
              </w:rPr>
              <w:t xml:space="preserve">max_papers</w:t>
            </w:r>
          </w:p>
        </w:tc>
        <w:tc>
          <w:tcPr/>
          <w:p>
            <w:pPr>
              <w:pStyle w:val="Compact"/>
            </w:pPr>
            <w:r>
              <w:t xml:space="preserve">int</w:t>
            </w:r>
          </w:p>
        </w:tc>
        <w:tc>
          <w:tcPr/>
          <w:p>
            <w:pPr>
              <w:pStyle w:val="Compact"/>
            </w:pPr>
            <w:r>
              <w:rPr>
                <w:rStyle w:val="VerbatimChar"/>
              </w:rPr>
              <w:t xml:space="preserve">40</w:t>
            </w:r>
          </w:p>
        </w:tc>
        <w:tc>
          <w:tcPr/>
          <w:p>
            <w:pPr>
              <w:pStyle w:val="Compact"/>
            </w:pPr>
            <w:r>
              <w:t xml:space="preserve">Clamped 1–200; bounds the prompt, and so the bill</w:t>
            </w:r>
          </w:p>
        </w:tc>
      </w:tr>
    </w:tbl>
    <w:p>
      <w:pPr>
        <w:pStyle w:val="BodyText"/>
      </w:pPr>
      <w:r>
        <w:rPr>
          <w:b/>
          <w:bCs/>
        </w:rPr>
        <w:t xml:space="preserve">Response</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run_id</w:t>
            </w:r>
          </w:p>
        </w:tc>
        <w:tc>
          <w:tcPr/>
          <w:p>
            <w:pPr>
              <w:pStyle w:val="Compact"/>
            </w:pPr>
            <w:r>
              <w:t xml:space="preserve">string</w:t>
            </w:r>
          </w:p>
        </w:tc>
        <w:tc>
          <w:tcPr/>
          <w:p>
            <w:pPr>
              <w:pStyle w:val="Compact"/>
            </w:pPr>
            <w:r>
              <w:t xml:space="preserve">the run asked about</w:t>
            </w:r>
          </w:p>
        </w:tc>
      </w:tr>
      <w:tr>
        <w:tc>
          <w:tcPr/>
          <w:p>
            <w:pPr>
              <w:pStyle w:val="Compact"/>
            </w:pPr>
            <w:r>
              <w:rPr>
                <w:rStyle w:val="VerbatimChar"/>
              </w:rPr>
              <w:t xml:space="preserve">report</w:t>
            </w:r>
          </w:p>
        </w:tc>
        <w:tc>
          <w:tcPr/>
          <w:p>
            <w:pPr>
              <w:pStyle w:val="Compact"/>
            </w:pPr>
            <w:r>
              <w:t xml:space="preserve">string | null</w:t>
            </w:r>
          </w:p>
        </w:tc>
        <w:tc>
          <w:tcPr/>
          <w:p>
            <w:pPr>
              <w:pStyle w:val="Compact"/>
            </w:pPr>
            <w:r>
              <w:rPr>
                <w:rStyle w:val="VerbatimChar"/>
              </w:rPr>
              <w:t xml:space="preserve">null</w:t>
            </w:r>
            <w:r>
              <w:t xml:space="preserve"> </w:t>
            </w:r>
            <w:r>
              <w:t xml:space="preserve">whenever no model ran</w:t>
            </w:r>
          </w:p>
        </w:tc>
      </w:tr>
      <w:tr>
        <w:tc>
          <w:tcPr/>
          <w:p>
            <w:pPr>
              <w:pStyle w:val="Compact"/>
            </w:pPr>
            <w:r>
              <w:rPr>
                <w:rStyle w:val="VerbatimChar"/>
              </w:rPr>
              <w:t xml:space="preserve">source</w:t>
            </w:r>
          </w:p>
        </w:tc>
        <w:tc>
          <w:tcPr/>
          <w:p>
            <w:pPr>
              <w:pStyle w:val="Compact"/>
            </w:pPr>
            <w:r>
              <w:t xml:space="preserve">string</w:t>
            </w:r>
          </w:p>
        </w:tc>
        <w:tc>
          <w:tcPr/>
          <w:p>
            <w:pPr>
              <w:pStyle w:val="Compact"/>
            </w:pPr>
            <w:r>
              <w:rPr>
                <w:rStyle w:val="VerbatimChar"/>
              </w:rPr>
              <w:t xml:space="preserve">glm</w:t>
            </w:r>
            <w:r>
              <w:t xml:space="preserve">, or</w:t>
            </w:r>
            <w:r>
              <w:t xml:space="preserve"> </w:t>
            </w:r>
            <w:r>
              <w:rPr>
                <w:rStyle w:val="VerbatimChar"/>
              </w:rPr>
              <w:t xml:space="preserve">none</w:t>
            </w:r>
            <w:r>
              <w:t xml:space="preserve"> </w:t>
            </w:r>
            <w:r>
              <w:t xml:space="preserve">when nothing was written</w:t>
            </w:r>
          </w:p>
        </w:tc>
      </w:tr>
      <w:tr>
        <w:tc>
          <w:tcPr/>
          <w:p>
            <w:pPr>
              <w:pStyle w:val="Compact"/>
            </w:pPr>
            <w:r>
              <w:rPr>
                <w:rStyle w:val="VerbatimChar"/>
              </w:rPr>
              <w:t xml:space="preserve">reason</w:t>
            </w:r>
          </w:p>
        </w:tc>
        <w:tc>
          <w:tcPr/>
          <w:p>
            <w:pPr>
              <w:pStyle w:val="Compact"/>
            </w:pPr>
            <w:r>
              <w:t xml:space="preserve">string | null</w:t>
            </w:r>
          </w:p>
        </w:tc>
        <w:tc>
          <w:tcPr/>
          <w:p>
            <w:pPr>
              <w:pStyle w:val="Compact"/>
            </w:pPr>
            <w:r>
              <w:t xml:space="preserve">why nothing was written, when nothing was</w:t>
            </w:r>
          </w:p>
        </w:tc>
      </w:tr>
      <w:tr>
        <w:tc>
          <w:tcPr/>
          <w:p>
            <w:pPr>
              <w:pStyle w:val="Compact"/>
            </w:pPr>
            <w:r>
              <w:rPr>
                <w:rStyle w:val="VerbatimChar"/>
              </w:rPr>
              <w:t xml:space="preserve">model</w:t>
            </w:r>
          </w:p>
        </w:tc>
        <w:tc>
          <w:tcPr/>
          <w:p>
            <w:pPr>
              <w:pStyle w:val="Compact"/>
            </w:pPr>
            <w:r>
              <w:t xml:space="preserve">string | null</w:t>
            </w:r>
          </w:p>
        </w:tc>
        <w:tc>
          <w:tcPr/>
          <w:p>
            <w:pPr>
              <w:pStyle w:val="Compact"/>
            </w:pPr>
            <w:r>
              <w:t xml:space="preserve">the model that answered</w:t>
            </w:r>
          </w:p>
        </w:tc>
      </w:tr>
      <w:tr>
        <w:tc>
          <w:tcPr/>
          <w:p>
            <w:pPr>
              <w:pStyle w:val="Compact"/>
            </w:pPr>
            <w:r>
              <w:rPr>
                <w:rStyle w:val="VerbatimChar"/>
              </w:rPr>
              <w:t xml:space="preserve">papers_considered</w:t>
            </w:r>
          </w:p>
        </w:tc>
        <w:tc>
          <w:tcPr/>
          <w:p>
            <w:pPr>
              <w:pStyle w:val="Compact"/>
            </w:pPr>
            <w:r>
              <w:t xml:space="preserve">int</w:t>
            </w:r>
          </w:p>
        </w:tc>
        <w:tc>
          <w:tcPr/>
          <w:p>
            <w:pPr>
              <w:pStyle w:val="Compact"/>
            </w:pPr>
            <w:r>
              <w:t xml:space="preserve">papers handed to the model</w:t>
            </w:r>
          </w:p>
        </w:tc>
      </w:tr>
      <w:tr>
        <w:tc>
          <w:tcPr/>
          <w:p>
            <w:pPr>
              <w:pStyle w:val="Compact"/>
            </w:pPr>
            <w:r>
              <w:rPr>
                <w:rStyle w:val="VerbatimChar"/>
              </w:rPr>
              <w:t xml:space="preserve">edges_considered</w:t>
            </w:r>
          </w:p>
        </w:tc>
        <w:tc>
          <w:tcPr/>
          <w:p>
            <w:pPr>
              <w:pStyle w:val="Compact"/>
            </w:pPr>
            <w:r>
              <w:t xml:space="preserve">int</w:t>
            </w:r>
          </w:p>
        </w:tc>
        <w:tc>
          <w:tcPr/>
          <w:p>
            <w:pPr>
              <w:pStyle w:val="Compact"/>
            </w:pPr>
            <w:r>
              <w:t xml:space="preserve">citation edges handed to the model</w:t>
            </w:r>
          </w:p>
        </w:tc>
      </w:tr>
      <w:tr>
        <w:tc>
          <w:tcPr/>
          <w:p>
            <w:pPr>
              <w:pStyle w:val="Compact"/>
            </w:pPr>
            <w:r>
              <w:rPr>
                <w:rStyle w:val="VerbatimChar"/>
              </w:rPr>
              <w:t xml:space="preserve">usage</w:t>
            </w:r>
          </w:p>
        </w:tc>
        <w:tc>
          <w:tcPr/>
          <w:p>
            <w:pPr>
              <w:pStyle w:val="Compact"/>
            </w:pPr>
            <w:r>
              <w:t xml:space="preserve">object | null</w:t>
            </w:r>
          </w:p>
        </w:tc>
        <w:tc>
          <w:tcPr/>
          <w:p>
            <w:pPr>
              <w:pStyle w:val="Compact"/>
            </w:pPr>
            <w:r>
              <w:t xml:space="preserve">token counts and cost;</w:t>
            </w:r>
            <w:r>
              <w:t xml:space="preserve"> </w:t>
            </w:r>
            <w:r>
              <w:rPr>
                <w:rStyle w:val="VerbatimChar"/>
              </w:rPr>
              <w:t xml:space="preserve">null</w:t>
            </w:r>
            <w:r>
              <w:t xml:space="preserve"> </w:t>
            </w:r>
            <w:r>
              <w:t xml:space="preserve">on a cache hit</w:t>
            </w:r>
          </w:p>
        </w:tc>
      </w:tr>
    </w:tbl>
    <w:p>
      <w:pPr>
        <w:pStyle w:val="BodyText"/>
      </w:pPr>
      <w:r>
        <w:t xml:space="preserve">A response whose</w:t>
      </w:r>
      <w:r>
        <w:t xml:space="preserve"> </w:t>
      </w:r>
      <w:r>
        <w:rPr>
          <w:rStyle w:val="VerbatimChar"/>
        </w:rPr>
        <w:t xml:space="preserve">report</w:t>
      </w:r>
      <w:r>
        <w:t xml:space="preserve"> </w:t>
      </w:r>
      <w:r>
        <w:t xml:space="preserve">is identical to an earlier request for the same</w:t>
      </w:r>
      <w:r>
        <w:t xml:space="preserve"> </w:t>
      </w:r>
      <w:r>
        <w:t xml:space="preserve">question, papers and edges is served from a content-addressed cache, and</w:t>
      </w:r>
      <w:r>
        <w:t xml:space="preserve"> </w:t>
      </w:r>
      <w:r>
        <w:rPr>
          <w:rStyle w:val="VerbatimChar"/>
        </w:rPr>
        <w:t xml:space="preserve">usage.cost_usd</w:t>
      </w:r>
      <w:r>
        <w:t xml:space="preserve"> </w:t>
      </w:r>
      <w:r>
        <w:t xml:space="preserve">is then</w:t>
      </w:r>
      <w:r>
        <w:t xml:space="preserve"> </w:t>
      </w:r>
      <w:r>
        <w:rPr>
          <w:rStyle w:val="VerbatimChar"/>
        </w:rPr>
        <w:t xml:space="preserve">0</w:t>
      </w:r>
      <w:r>
        <w:t xml:space="preserve"> </w:t>
      </w:r>
      <w:r>
        <w:t xml:space="preserve">because no new call was made.</w:t>
      </w:r>
    </w:p>
    <w:bookmarkEnd w:id="240"/>
    <w:bookmarkEnd w:id="241"/>
    <w:bookmarkStart w:id="248"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42"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42"/>
    <w:bookmarkStart w:id="243"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3"/>
    <w:bookmarkStart w:id="244"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4"/>
    <w:bookmarkStart w:id="245"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5"/>
    <w:bookmarkStart w:id="246"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6"/>
    <w:bookmarkStart w:id="247"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7"/>
    <w:bookmarkEnd w:id="248"/>
    <w:bookmarkStart w:id="258"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9"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9"/>
    <w:bookmarkStart w:id="250"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579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50"/>
    <w:bookmarkStart w:id="251"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51"/>
    <w:bookmarkStart w:id="252"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52"/>
    <w:bookmarkStart w:id="253"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p>
      <w:pPr>
        <w:pStyle w:val="BodyText"/>
      </w:pPr>
      <w:r>
        <w:t xml:space="preserve">The rest of the thesis can drift, and</w:t>
      </w:r>
      <w:r>
        <w:t xml:space="preserve"> </w:t>
      </w:r>
      <w:r>
        <w:rPr>
          <w:rStyle w:val="VerbatimChar"/>
        </w:rPr>
        <w:t xml:space="preserve">tests/test_the_thesis_does_not_drift.py</w:t>
      </w:r>
      <w:r>
        <w:t xml:space="preserve"> </w:t>
      </w:r>
      <w:r>
        <w:t xml:space="preserve">checks it with the rest of the suite. It compares the headline results with</w:t>
      </w:r>
      <w:r>
        <w:t xml:space="preserve"> </w:t>
      </w:r>
      <w:r>
        <w:rPr>
          <w:rStyle w:val="VerbatimChar"/>
        </w:rPr>
        <w:t xml:space="preserve">thesis/evidence/</w:t>
      </w:r>
      <w:r>
        <w:t xml:space="preserve">, the generated figures and the counts quoted from them with</w:t>
      </w:r>
      <w:r>
        <w:t xml:space="preserve"> </w:t>
      </w:r>
      <w:r>
        <w:t xml:space="preserve">the source, and the assembled document, PDFs and quoted page and test counts</w:t>
      </w:r>
      <w:r>
        <w:t xml:space="preserve"> </w:t>
      </w:r>
      <w:r>
        <w:t xml:space="preserve">with what is committed. It also keeps a ratchet:</w:t>
      </w:r>
      <w:r>
        <w:t xml:space="preserve"> </w:t>
      </w:r>
      <w:r>
        <w:rPr>
          <w:rStyle w:val="VerbatimChar"/>
        </w:rPr>
        <w:t xml:space="preserve">scripts/thesis_baseline.json</w:t>
      </w:r>
      <w:r>
        <w:t xml:space="preserve"> </w:t>
      </w:r>
      <w:r>
        <w:t xml:space="preserve">records every section, figure and citation, and one may be removed only by</w:t>
      </w:r>
      <w:r>
        <w:t xml:space="preserve"> </w:t>
      </w:r>
      <w:r>
        <w:t xml:space="preserve">rerunning</w:t>
      </w:r>
    </w:p>
    <w:p>
      <w:pPr>
        <w:pStyle w:val="SourceCode"/>
      </w:pPr>
      <w:r>
        <w:rPr>
          <w:rStyle w:val="ExtensionTok"/>
        </w:rPr>
        <w:t xml:space="preserve">python</w:t>
      </w:r>
      <w:r>
        <w:rPr>
          <w:rStyle w:val="NormalTok"/>
        </w:rPr>
        <w:t xml:space="preserve"> scripts/rebaseline_thesis.py </w:t>
      </w:r>
      <w:r>
        <w:rPr>
          <w:rStyle w:val="StringTok"/>
        </w:rPr>
        <w:t xml:space="preserve">"why this changed"</w:t>
      </w:r>
    </w:p>
    <w:p>
      <w:pPr>
        <w:pStyle w:val="FirstParagraph"/>
      </w:pPr>
      <w:r>
        <w:t xml:space="preserve">which refuses to run without the reason.</w:t>
      </w:r>
    </w:p>
    <w:bookmarkEnd w:id="253"/>
    <w:bookmarkStart w:id="254"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4"/>
    <w:bookmarkStart w:id="255"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5"/>
    <w:bookmarkStart w:id="256"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6"/>
    <w:bookmarkStart w:id="257"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7"/>
    <w:bookmarkEnd w:id="258"/>
    <w:bookmarkStart w:id="281"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9"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9"/>
    <w:bookmarkStart w:id="280" w:name="d.2-annotations-with-supporting-evidence"/>
    <w:p>
      <w:pPr>
        <w:pStyle w:val="Heading2"/>
      </w:pPr>
      <w:r>
        <w:t xml:space="preserve">D.2 Annotations with supporting evidence</w:t>
      </w:r>
    </w:p>
    <w:bookmarkStart w:id="260"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60"/>
    <w:bookmarkStart w:id="261"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61"/>
    <w:bookmarkStart w:id="262"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62"/>
    <w:bookmarkStart w:id="263"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3"/>
    <w:bookmarkStart w:id="264"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4"/>
    <w:bookmarkStart w:id="265"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5"/>
    <w:bookmarkStart w:id="266"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6"/>
    <w:bookmarkStart w:id="267"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7"/>
    <w:bookmarkStart w:id="268"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8"/>
    <w:bookmarkStart w:id="269"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9"/>
    <w:bookmarkStart w:id="270"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70"/>
    <w:bookmarkStart w:id="271"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71"/>
    <w:bookmarkStart w:id="272"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72"/>
    <w:bookmarkStart w:id="273"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3"/>
    <w:bookmarkStart w:id="274"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4"/>
    <w:bookmarkStart w:id="275"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5"/>
    <w:bookmarkStart w:id="276"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6"/>
    <w:bookmarkStart w:id="277"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7"/>
    <w:bookmarkStart w:id="278"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8"/>
    <w:bookmarkStart w:id="279"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9"/>
    <w:bookmarkEnd w:id="280"/>
    <w:bookmarkEnd w:id="281"/>
    <w:bookmarkStart w:id="286"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82"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82"/>
    <w:bookmarkStart w:id="283"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3"/>
    <w:bookmarkStart w:id="284"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4"/>
    <w:bookmarkStart w:id="285"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5"/>
    <w:bookmarkEnd w:id="286"/>
    <w:bookmarkStart w:id="292" w:name="X9f57483ed5b2f82fbb3fee302540650aea30fed"/>
    <w:p>
      <w:pPr>
        <w:pStyle w:val="Heading1"/>
      </w:pPr>
      <w:r>
        <w:t xml:space="preserve">Appendix F: Test Suite and Verification Inventory</w:t>
      </w:r>
    </w:p>
    <w:bookmarkStart w:id="287" w:name="f.1-composition"/>
    <w:p>
      <w:pPr>
        <w:pStyle w:val="Heading2"/>
      </w:pPr>
      <w:r>
        <w:t xml:space="preserve">F.1 Composition</w:t>
      </w:r>
    </w:p>
    <w:p>
      <w:pPr>
        <w:pStyle w:val="FirstParagraph"/>
      </w:pPr>
      <w:r>
        <w:t xml:space="preserve">579 automated tests across 36 files. All external HTTP is intercepted at</w:t>
      </w:r>
      <w:r>
        <w:t xml:space="preserve"> </w:t>
      </w:r>
      <w:r>
        <w:t xml:space="preserve">transport level by</w:t>
      </w:r>
      <w:r>
        <w:t xml:space="preserve"> </w:t>
      </w:r>
      <w:r>
        <w:rPr>
          <w:rStyle w:val="VerbatimChar"/>
        </w:rPr>
        <w:t xml:space="preserve">respx</w:t>
      </w:r>
      <w:r>
        <w:t xml:space="preserve"> </w:t>
      </w:r>
      <w:r>
        <w:t xml:space="preserve">or replaced with test doubles, so the suite requires</w:t>
      </w:r>
      <w:r>
        <w:t xml:space="preserve"> </w:t>
      </w:r>
      <w:r>
        <w:t xml:space="preserve">no network access and no API credentials, and completes in roughly 15 to 40</w:t>
      </w:r>
      <w:r>
        <w:t xml:space="preserve"> </w:t>
      </w:r>
      <w:r>
        <w:t xml:space="preserve">seconds.</w:t>
      </w:r>
    </w:p>
    <w:p>
      <w:pPr>
        <w:pStyle w:val="BodyText"/>
      </w:pPr>
      <w:r>
        <w:t xml:space="preserve">Twenty-four of the 36 files are behaviour tests: they assert that the system does</w:t>
      </w:r>
      <w:r>
        <w:t xml:space="preserve"> </w:t>
      </w:r>
      <w:r>
        <w:t xml:space="preserve">something. The other twelve are guards, and they assert that a check still works.</w:t>
      </w:r>
      <w:r>
        <w:t xml:space="preserve"> </w:t>
      </w:r>
      <w:r>
        <w:rPr>
          <w:rStyle w:val="VerbatimChar"/>
        </w:rPr>
        <w:t xml:space="preserve">guards/LEDGER.md</w:t>
      </w:r>
      <w:r>
        <w:t xml:space="preserve"> </w:t>
      </w:r>
      <w:r>
        <w:t xml:space="preserve">records all 95 guard families catalogued from another project,</w:t>
      </w:r>
      <w:r>
        <w:t xml:space="preserve"> </w:t>
      </w:r>
      <w:r>
        <w:t xml:space="preserve">what happened to each one here, and why 33 were refused rather than ported.</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test_nothing_needs_a_newer_python.py</w:t>
            </w:r>
          </w:p>
        </w:tc>
        <w:tc>
          <w:tcPr/>
          <w:p>
            <w:pPr>
              <w:pStyle w:val="Compact"/>
              <w:jc w:val="right"/>
            </w:pPr>
            <w:r>
              <w:t xml:space="preserve">122</w:t>
            </w:r>
          </w:p>
        </w:tc>
        <w:tc>
          <w:tcPr/>
          <w:p>
            <w:pPr>
              <w:pStyle w:val="Compact"/>
            </w:pPr>
            <w:r>
              <w:t xml:space="preserve">That nothing in src/ needs a Python newer than the image runs, after a 3.10 deploy failed on enum.StrEnum</w:t>
            </w:r>
          </w:p>
        </w:tc>
      </w:tr>
      <w:tr>
        <w:tc>
          <w:tcPr/>
          <w:p>
            <w:pPr>
              <w:pStyle w:val="Compact"/>
            </w:pPr>
            <w:r>
              <w:rPr>
                <w:rStyle w:val="VerbatimChar"/>
              </w:rPr>
              <w:t xml:space="preserve">test_api_comprehensive.py</w:t>
            </w:r>
          </w:p>
        </w:tc>
        <w:tc>
          <w:tcPr/>
          <w:p>
            <w:pPr>
              <w:pStyle w:val="Compact"/>
              <w:jc w:val="right"/>
            </w:pPr>
            <w:r>
              <w:t xml:space="preserve">73</w:t>
            </w:r>
          </w:p>
        </w:tc>
        <w:tc>
          <w:tcPr/>
          <w:p>
            <w:pPr>
              <w:pStyle w:val="Compact"/>
            </w:pPr>
            <w:r>
              <w:t xml:space="preserve">Endpoints, validation, clamping, auth, CORS, exports, pipeline</w:t>
            </w:r>
          </w:p>
        </w:tc>
      </w:tr>
      <w:tr>
        <w:tc>
          <w:tcPr/>
          <w:p>
            <w:pPr>
              <w:pStyle w:val="Compact"/>
            </w:pPr>
            <w:r>
              <w:rPr>
                <w:rStyle w:val="VerbatimChar"/>
              </w:rPr>
              <w:t xml:space="preserve">test_llm_providers.py</w:t>
            </w:r>
          </w:p>
        </w:tc>
        <w:tc>
          <w:tcPr/>
          <w:p>
            <w:pPr>
              <w:pStyle w:val="Compact"/>
              <w:jc w:val="right"/>
            </w:pPr>
            <w:r>
              <w:t xml:space="preserve">52</w:t>
            </w:r>
          </w:p>
        </w:tc>
        <w:tc>
          <w:tcPr/>
          <w:p>
            <w:pPr>
              <w:pStyle w:val="Compact"/>
            </w:pPr>
            <w:r>
              <w:t xml:space="preserve">The Jev and GLM request shapes, retries, and key redaction</w:t>
            </w:r>
          </w:p>
        </w:tc>
      </w:tr>
      <w:tr>
        <w:tc>
          <w:tcPr/>
          <w:p>
            <w:pPr>
              <w:pStyle w:val="Compact"/>
            </w:pPr>
            <w:r>
              <w:rPr>
                <w:rStyle w:val="VerbatimChar"/>
              </w:rPr>
              <w:t xml:space="preserve">test_evaluation_metrics.py</w:t>
            </w:r>
          </w:p>
        </w:tc>
        <w:tc>
          <w:tcPr/>
          <w:p>
            <w:pPr>
              <w:pStyle w:val="Compact"/>
              <w:jc w:val="right"/>
            </w:pPr>
            <w:r>
              <w:t xml:space="preserve">34</w:t>
            </w:r>
          </w:p>
        </w:tc>
        <w:tc>
          <w:tcPr/>
          <w:p>
            <w:pPr>
              <w:pStyle w:val="Compact"/>
            </w:pPr>
            <w:r>
              <w:t xml:space="preserve">The Wilson interval and the metrics the thesis quotes</w:t>
            </w:r>
          </w:p>
        </w:tc>
      </w:tr>
      <w:tr>
        <w:tc>
          <w:tcPr/>
          <w:p>
            <w:pPr>
              <w:pStyle w:val="Compact"/>
            </w:pPr>
            <w:r>
              <w:rPr>
                <w:rStyle w:val="VerbatimChar"/>
              </w:rPr>
              <w:t xml:space="preserve">test_query_detection.py</w:t>
            </w:r>
          </w:p>
        </w:tc>
        <w:tc>
          <w:tcPr/>
          <w:p>
            <w:pPr>
              <w:pStyle w:val="Compact"/>
              <w:jc w:val="right"/>
            </w:pPr>
            <w:r>
              <w:t xml:space="preserve">34</w:t>
            </w:r>
          </w:p>
        </w:tc>
        <w:tc>
          <w:tcPr/>
          <w:p>
            <w:pPr>
              <w:pStyle w:val="Compact"/>
            </w:pPr>
            <w:r>
              <w:t xml:space="preserve">Identifier auto-detection and the title matching behind run acceptance</w:t>
            </w:r>
          </w:p>
        </w:tc>
      </w:tr>
      <w:tr>
        <w:tc>
          <w:tcPr/>
          <w:p>
            <w:pPr>
              <w:pStyle w:val="Compact"/>
            </w:pPr>
            <w:r>
              <w:rPr>
                <w:rStyle w:val="VerbatimChar"/>
              </w:rPr>
              <w:t xml:space="preserve">test_the_thesis_does_not_drift.py</w:t>
            </w:r>
          </w:p>
        </w:tc>
        <w:tc>
          <w:tcPr/>
          <w:p>
            <w:pPr>
              <w:pStyle w:val="Compact"/>
              <w:jc w:val="right"/>
            </w:pPr>
            <w:r>
              <w:t xml:space="preserve">20</w:t>
            </w:r>
          </w:p>
        </w:tc>
        <w:tc>
          <w:tcPr/>
          <w:p>
            <w:pPr>
              <w:pStyle w:val="Compact"/>
            </w:pPr>
            <w:r>
              <w:t xml:space="preserve">This thesis against its evidence, its figures, its PDFs</w:t>
            </w:r>
          </w:p>
        </w:tc>
      </w:tr>
      <w:tr>
        <w:tc>
          <w:tcPr/>
          <w:p>
            <w:pPr>
              <w:pStyle w:val="Compact"/>
            </w:pPr>
            <w:r>
              <w:rPr>
                <w:rStyle w:val="VerbatimChar"/>
              </w:rPr>
              <w:t xml:space="preserve">test_flow_diagram.py</w:t>
            </w:r>
          </w:p>
        </w:tc>
        <w:tc>
          <w:tcPr/>
          <w:p>
            <w:pPr>
              <w:pStyle w:val="Compact"/>
              <w:jc w:val="right"/>
            </w:pPr>
            <w:r>
              <w:t xml:space="preserve">18</w:t>
            </w:r>
          </w:p>
        </w:tc>
        <w:tc>
          <w:tcPr/>
          <w:p>
            <w:pPr>
              <w:pStyle w:val="Compact"/>
            </w:pPr>
            <w:r>
              <w:t xml:space="preserve">Stage and layout rules of the flow-diagram reader (Section 6.14)</w:t>
            </w:r>
          </w:p>
        </w:tc>
      </w:tr>
      <w:tr>
        <w:tc>
          <w:tcPr/>
          <w:p>
            <w:pPr>
              <w:pStyle w:val="Compact"/>
            </w:pPr>
            <w:r>
              <w:rPr>
                <w:rStyle w:val="VerbatimChar"/>
              </w:rPr>
              <w:t xml:space="preserve">test_graph_exporters.py</w:t>
            </w:r>
          </w:p>
        </w:tc>
        <w:tc>
          <w:tcPr/>
          <w:p>
            <w:pPr>
              <w:pStyle w:val="Compact"/>
              <w:jc w:val="right"/>
            </w:pPr>
            <w:r>
              <w:t xml:space="preserve">18</w:t>
            </w:r>
          </w:p>
        </w:tc>
        <w:tc>
          <w:tcPr/>
          <w:p>
            <w:pPr>
              <w:pStyle w:val="Compact"/>
            </w:pPr>
            <w:r>
              <w:t xml:space="preserve">The JSON and GraphML exporters emit the real edges</w:t>
            </w:r>
          </w:p>
        </w:tc>
      </w:tr>
      <w:tr>
        <w:tc>
          <w:tcPr/>
          <w:p>
            <w:pPr>
              <w:pStyle w:val="Compact"/>
            </w:pPr>
            <w:r>
              <w:rPr>
                <w:rStyle w:val="VerbatimChar"/>
              </w:rPr>
              <w:t xml:space="preserve">test_provider_cache.py</w:t>
            </w:r>
          </w:p>
        </w:tc>
        <w:tc>
          <w:tcPr/>
          <w:p>
            <w:pPr>
              <w:pStyle w:val="Compact"/>
              <w:jc w:val="right"/>
            </w:pPr>
            <w:r>
              <w:t xml:space="preserve">17</w:t>
            </w:r>
          </w:p>
        </w:tc>
        <w:tc>
          <w:tcPr/>
          <w:p>
            <w:pPr>
              <w:pStyle w:val="Compact"/>
            </w:pPr>
            <w:r>
              <w:t xml:space="preserve">The content-hash cache key, and that a hit spends nothing</w:t>
            </w:r>
          </w:p>
        </w:tc>
      </w:tr>
      <w:tr>
        <w:tc>
          <w:tcPr/>
          <w:p>
            <w:pPr>
              <w:pStyle w:val="Compact"/>
            </w:pPr>
            <w:r>
              <w:rPr>
                <w:rStyle w:val="VerbatimChar"/>
              </w:rPr>
              <w:t xml:space="preserve">test_disambiguation.py</w:t>
            </w:r>
          </w:p>
        </w:tc>
        <w:tc>
          <w:tcPr/>
          <w:p>
            <w:pPr>
              <w:pStyle w:val="Compact"/>
              <w:jc w:val="right"/>
            </w:pPr>
            <w:r>
              <w:t xml:space="preserve">16</w:t>
            </w:r>
          </w:p>
        </w:tc>
        <w:tc>
          <w:tcPr/>
          <w:p>
            <w:pPr>
              <w:pStyle w:val="Compact"/>
            </w:pPr>
            <w:r>
              <w:t xml:space="preserve">A Jev answer is used only above the confidence bar</w:t>
            </w:r>
          </w:p>
        </w:tc>
      </w:tr>
      <w:tr>
        <w:tc>
          <w:tcPr/>
          <w:p>
            <w:pPr>
              <w:pStyle w:val="Compact"/>
            </w:pPr>
            <w:r>
              <w:rPr>
                <w:rStyle w:val="VerbatimChar"/>
              </w:rPr>
              <w:t xml:space="preserve">test_provider_budget.py</w:t>
            </w:r>
          </w:p>
        </w:tc>
        <w:tc>
          <w:tcPr/>
          <w:p>
            <w:pPr>
              <w:pStyle w:val="Compact"/>
              <w:jc w:val="right"/>
            </w:pPr>
            <w:r>
              <w:t xml:space="preserve">14</w:t>
            </w:r>
          </w:p>
        </w:tc>
        <w:tc>
          <w:tcPr/>
          <w:p>
            <w:pPr>
              <w:pStyle w:val="Compact"/>
            </w:pPr>
            <w:r>
              <w:t xml:space="preserve">The daily ceiling, its UTC day, and its append-only record</w:t>
            </w:r>
          </w:p>
        </w:tc>
      </w:tr>
      <w:tr>
        <w:tc>
          <w:tcPr/>
          <w:p>
            <w:pPr>
              <w:pStyle w:val="Compact"/>
            </w:pPr>
            <w:r>
              <w:rPr>
                <w:rStyle w:val="VerbatimChar"/>
              </w:rPr>
              <w:t xml:space="preserve">test_technical_evidence.py</w:t>
            </w:r>
          </w:p>
        </w:tc>
        <w:tc>
          <w:tcPr/>
          <w:p>
            <w:pPr>
              <w:pStyle w:val="Compact"/>
              <w:jc w:val="right"/>
            </w:pPr>
            <w:r>
              <w:t xml:space="preserve">12</w:t>
            </w:r>
          </w:p>
        </w:tc>
        <w:tc>
          <w:tcPr/>
          <w:p>
            <w:pPr>
              <w:pStyle w:val="Compact"/>
            </w:pPr>
            <w:r>
              <w:t xml:space="preserve">Research-field detection, arXiv links and dataset-size extraction</w:t>
            </w:r>
          </w:p>
        </w:tc>
      </w:tr>
      <w:tr>
        <w:tc>
          <w:tcPr/>
          <w:p>
            <w:pPr>
              <w:pStyle w:val="Compact"/>
            </w:pPr>
            <w:r>
              <w:rPr>
                <w:rStyle w:val="VerbatimChar"/>
              </w:rPr>
              <w:t xml:space="preserve">test_report_route.py</w:t>
            </w:r>
          </w:p>
        </w:tc>
        <w:tc>
          <w:tcPr/>
          <w:p>
            <w:pPr>
              <w:pStyle w:val="Compact"/>
              <w:jc w:val="right"/>
            </w:pPr>
            <w:r>
              <w:t xml:space="preserve">11</w:t>
            </w:r>
          </w:p>
        </w:tc>
        <w:tc>
          <w:tcPr/>
          <w:p>
            <w:pPr>
              <w:pStyle w:val="Compact"/>
            </w:pPr>
            <w:r>
              <w:t xml:space="preserve">The report route's fallback when no provider is configured</w:t>
            </w:r>
          </w:p>
        </w:tc>
      </w:tr>
      <w:tr>
        <w:tc>
          <w:tcPr/>
          <w:p>
            <w:pPr>
              <w:pStyle w:val="Compact"/>
            </w:pPr>
            <w:r>
              <w:rPr>
                <w:rStyle w:val="VerbatimChar"/>
              </w:rPr>
              <w:t xml:space="preserve">test_the_config_refuses_every_problem_at_once.py</w:t>
            </w:r>
          </w:p>
        </w:tc>
        <w:tc>
          <w:tcPr/>
          <w:p>
            <w:pPr>
              <w:pStyle w:val="Compact"/>
              <w:jc w:val="right"/>
            </w:pPr>
            <w:r>
              <w:t xml:space="preserve">11</w:t>
            </w:r>
          </w:p>
        </w:tc>
        <w:tc>
          <w:tcPr/>
          <w:p>
            <w:pPr>
              <w:pStyle w:val="Compact"/>
            </w:pPr>
            <w:r>
              <w:t xml:space="preserve">Configuration faults gathered in one pass</w:t>
            </w:r>
          </w:p>
        </w:tc>
      </w:tr>
      <w:tr>
        <w:tc>
          <w:tcPr/>
          <w:p>
            <w:pPr>
              <w:pStyle w:val="Compact"/>
            </w:pPr>
            <w:r>
              <w:rPr>
                <w:rStyle w:val="VerbatimChar"/>
              </w:rPr>
              <w:t xml:space="preserve">test_no_secret_is_committed_to_this_tree.py</w:t>
            </w:r>
          </w:p>
        </w:tc>
        <w:tc>
          <w:tcPr/>
          <w:p>
            <w:pPr>
              <w:pStyle w:val="Compact"/>
              <w:jc w:val="right"/>
            </w:pPr>
            <w:r>
              <w:t xml:space="preserve">8</w:t>
            </w:r>
          </w:p>
        </w:tc>
        <w:tc>
          <w:tcPr/>
          <w:p>
            <w:pPr>
              <w:pStyle w:val="Compact"/>
            </w:pPr>
            <w:r>
              <w:t xml:space="preserve">Credential shapes, each driven by a planted sample</w:t>
            </w:r>
          </w:p>
        </w:tc>
      </w:tr>
      <w:tr>
        <w:tc>
          <w:tcPr/>
          <w:p>
            <w:pPr>
              <w:pStyle w:val="Compact"/>
            </w:pPr>
            <w:r>
              <w:rPr>
                <w:rStyle w:val="VerbatimChar"/>
              </w:rPr>
              <w:t xml:space="preserve">test_ranking.py</w:t>
            </w:r>
          </w:p>
        </w:tc>
        <w:tc>
          <w:tcPr/>
          <w:p>
            <w:pPr>
              <w:pStyle w:val="Compact"/>
              <w:jc w:val="right"/>
            </w:pPr>
            <w:r>
              <w:t xml:space="preserve">8</w:t>
            </w:r>
          </w:p>
        </w:tc>
        <w:tc>
          <w:tcPr/>
          <w:p>
            <w:pPr>
              <w:pStyle w:val="Compact"/>
            </w:pPr>
            <w:r>
              <w:t xml:space="preserve">Foundational scoring and path ranking</w:t>
            </w:r>
          </w:p>
        </w:tc>
      </w:tr>
      <w:tr>
        <w:tc>
          <w:tcPr/>
          <w:p>
            <w:pPr>
              <w:pStyle w:val="Compact"/>
            </w:pPr>
            <w:r>
              <w:rPr>
                <w:rStyle w:val="VerbatimChar"/>
              </w:rPr>
              <w:t xml:space="preserve">test_second_opinion_pass.py</w:t>
            </w:r>
          </w:p>
        </w:tc>
        <w:tc>
          <w:tcPr/>
          <w:p>
            <w:pPr>
              <w:pStyle w:val="Compact"/>
              <w:jc w:val="right"/>
            </w:pPr>
            <w:r>
              <w:t xml:space="preserve">8</w:t>
            </w:r>
          </w:p>
        </w:tc>
        <w:tc>
          <w:tcPr/>
          <w:p>
            <w:pPr>
              <w:pStyle w:val="Compact"/>
            </w:pPr>
            <w:r>
              <w:t xml:space="preserve">That the second-opinion pass changes nothing when disabled</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test_the_ci_workflows_have_no_path_filters_and_one_always_runs.py</w:t>
            </w:r>
          </w:p>
        </w:tc>
        <w:tc>
          <w:tcPr/>
          <w:p>
            <w:pPr>
              <w:pStyle w:val="Compact"/>
              <w:jc w:val="right"/>
            </w:pPr>
            <w:r>
              <w:t xml:space="preserve">8</w:t>
            </w:r>
          </w:p>
        </w:tc>
        <w:tc>
          <w:tcPr/>
          <w:p>
            <w:pPr>
              <w:pStyle w:val="Compact"/>
            </w:pPr>
            <w:r>
              <w:t xml:space="preserve">No path filter on a workflow, and one that always runs</w:t>
            </w:r>
          </w:p>
        </w:tc>
      </w:tr>
      <w:tr>
        <w:tc>
          <w:tcPr/>
          <w:p>
            <w:pPr>
              <w:pStyle w:val="Compact"/>
            </w:pPr>
            <w:r>
              <w:rPr>
                <w:rStyle w:val="VerbatimChar"/>
              </w:rPr>
              <w:t xml:space="preserve">test_the_documented_response_fields_are_the_fields_the_api_returns.py</w:t>
            </w:r>
          </w:p>
        </w:tc>
        <w:tc>
          <w:tcPr/>
          <w:p>
            <w:pPr>
              <w:pStyle w:val="Compact"/>
              <w:jc w:val="right"/>
            </w:pPr>
            <w:r>
              <w:t xml:space="preserve">8</w:t>
            </w:r>
          </w:p>
        </w:tc>
        <w:tc>
          <w:tcPr/>
          <w:p>
            <w:pPr>
              <w:pStyle w:val="Compact"/>
            </w:pPr>
            <w:r>
              <w:t xml:space="preserve">The documented fields</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test_config_env_alias.py</w:t>
            </w:r>
          </w:p>
        </w:tc>
        <w:tc>
          <w:tcPr/>
          <w:p>
            <w:pPr>
              <w:pStyle w:val="Compact"/>
              <w:jc w:val="right"/>
            </w:pPr>
            <w:r>
              <w:t xml:space="preserve">7</w:t>
            </w:r>
          </w:p>
        </w:tc>
        <w:tc>
          <w:tcPr/>
          <w:p>
            <w:pPr>
              <w:pStyle w:val="Compact"/>
            </w:pPr>
            <w:r>
              <w:t xml:space="preserve">The environment variable an operator sets is the one the code reads</w:t>
            </w:r>
          </w:p>
        </w:tc>
      </w:tr>
      <w:tr>
        <w:tc>
          <w:tcPr/>
          <w:p>
            <w:pPr>
              <w:pStyle w:val="Compact"/>
            </w:pPr>
            <w:r>
              <w:rPr>
                <w:rStyle w:val="VerbatimChar"/>
              </w:rPr>
              <w:t xml:space="preserve">test_run_poll_interval.py</w:t>
            </w:r>
          </w:p>
        </w:tc>
        <w:tc>
          <w:tcPr/>
          <w:p>
            <w:pPr>
              <w:pStyle w:val="Compact"/>
              <w:jc w:val="right"/>
            </w:pPr>
            <w:r>
              <w:t xml:space="preserve">7</w:t>
            </w:r>
          </w:p>
        </w:tc>
        <w:tc>
          <w:tcPr/>
          <w:p>
            <w:pPr>
              <w:pStyle w:val="Compact"/>
            </w:pPr>
            <w:r>
              <w:t xml:space="preserve">That RunStatus carries the server's retry interval</w:t>
            </w:r>
          </w:p>
        </w:tc>
      </w:tr>
      <w:tr>
        <w:tc>
          <w:tcPr/>
          <w:p>
            <w:pPr>
              <w:pStyle w:val="Compact"/>
            </w:pPr>
            <w:r>
              <w:rPr>
                <w:rStyle w:val="VerbatimChar"/>
              </w:rPr>
              <w:t xml:space="preserve">test_full_text_population.py</w:t>
            </w:r>
          </w:p>
        </w:tc>
        <w:tc>
          <w:tcPr/>
          <w:p>
            <w:pPr>
              <w:pStyle w:val="Compact"/>
              <w:jc w:val="right"/>
            </w:pPr>
            <w:r>
              <w:t xml:space="preserve">6</w:t>
            </w:r>
          </w:p>
        </w:tc>
        <w:tc>
          <w:tcPr/>
          <w:p>
            <w:pPr>
              <w:pStyle w:val="Compact"/>
            </w:pPr>
            <w:r>
              <w:t xml:space="preserve">The open-access full-text fallback of Section 5.2</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test_the_guard_ledger_matches_what_is_on_disk.py</w:t>
            </w:r>
          </w:p>
        </w:tc>
        <w:tc>
          <w:tcPr/>
          <w:p>
            <w:pPr>
              <w:pStyle w:val="Compact"/>
              <w:jc w:val="right"/>
            </w:pPr>
            <w:r>
              <w:t xml:space="preserve">6</w:t>
            </w:r>
          </w:p>
        </w:tc>
        <w:tc>
          <w:tcPr/>
          <w:p>
            <w:pPr>
              <w:pStyle w:val="Compact"/>
            </w:pPr>
            <w:r>
              <w:t xml:space="preserve">All 95 catalogued families accounted for</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test_the_test_job_proves_it_ran.py</w:t>
            </w:r>
          </w:p>
        </w:tc>
        <w:tc>
          <w:tcPr/>
          <w:p>
            <w:pPr>
              <w:pStyle w:val="Compact"/>
              <w:jc w:val="right"/>
            </w:pPr>
            <w:r>
              <w:t xml:space="preserve">5</w:t>
            </w:r>
          </w:p>
        </w:tc>
        <w:tc>
          <w:tcPr/>
          <w:p>
            <w:pPr>
              <w:pStyle w:val="Compact"/>
            </w:pPr>
            <w:r>
              <w:t xml:space="preserve">That the Tests job emits a JUnit report and asserts on it</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 identifier extraction, DOI view-segment trimming</w:t>
            </w:r>
          </w:p>
        </w:tc>
      </w:tr>
      <w:tr>
        <w:tc>
          <w:tcPr/>
          <w:p>
            <w:pPr>
              <w:pStyle w:val="Compact"/>
            </w:pPr>
            <w:r>
              <w:rPr>
                <w:rStyle w:val="VerbatimChar"/>
              </w:rPr>
              <w:t xml:space="preserve">test_a_guard_that_cannot_look_does_not_report_clean.py</w:t>
            </w:r>
          </w:p>
        </w:tc>
        <w:tc>
          <w:tcPr/>
          <w:p>
            <w:pPr>
              <w:pStyle w:val="Compact"/>
              <w:jc w:val="right"/>
            </w:pPr>
            <w:r>
              <w:t xml:space="preserve">4</w:t>
            </w:r>
          </w:p>
        </w:tc>
        <w:tc>
          <w:tcPr/>
          <w:p>
            <w:pPr>
              <w:pStyle w:val="Compact"/>
            </w:pPr>
            <w:r>
              <w:t xml:space="preserve">That the PDF checks in the drift guard can read</w:t>
            </w:r>
          </w:p>
        </w:tc>
      </w:tr>
      <w:tr>
        <w:tc>
          <w:tcPr/>
          <w:p>
            <w:pPr>
              <w:pStyle w:val="Compact"/>
            </w:pPr>
            <w:r>
              <w:rPr>
                <w:rStyle w:val="VerbatimChar"/>
              </w:rPr>
              <w:t xml:space="preserve">test_every_guard_checker_has_a_caller.py</w:t>
            </w:r>
          </w:p>
        </w:tc>
        <w:tc>
          <w:tcPr/>
          <w:p>
            <w:pPr>
              <w:pStyle w:val="Compact"/>
              <w:jc w:val="right"/>
            </w:pPr>
            <w:r>
              <w:t xml:space="preserve">4</w:t>
            </w:r>
          </w:p>
        </w:tc>
        <w:tc>
          <w:tcPr/>
          <w:p>
            <w:pPr>
              <w:pStyle w:val="Compact"/>
            </w:pPr>
            <w:r>
              <w:t xml:space="preserve">Every</w:t>
            </w:r>
            <w:r>
              <w:t xml:space="preserve"> </w:t>
            </w:r>
            <w:r>
              <w:rPr>
                <w:rStyle w:val="VerbatimChar"/>
              </w:rPr>
              <w:t xml:space="preserve">check_*</w:t>
            </w:r>
            <w:r>
              <w:t xml:space="preserve"> </w:t>
            </w:r>
            <w:r>
              <w:t xml:space="preserve">and</w:t>
            </w:r>
            <w:r>
              <w:t xml:space="preserve"> </w:t>
            </w:r>
            <w:r>
              <w:rPr>
                <w:rStyle w:val="VerbatimChar"/>
              </w:rPr>
              <w:t xml:space="preserve">verify_*</w:t>
            </w:r>
            <w:r>
              <w:t xml:space="preserve"> </w:t>
            </w:r>
            <w:r>
              <w:t xml:space="preserve">script reachable from CI or a test</w:t>
            </w:r>
          </w:p>
        </w:tc>
      </w:tr>
      <w:tr>
        <w:tc>
          <w:tcPr/>
          <w:p>
            <w:pPr>
              <w:pStyle w:val="Compact"/>
            </w:pPr>
            <w:r>
              <w:rPr>
                <w:rStyle w:val="VerbatimChar"/>
              </w:rPr>
              <w:t xml:space="preserve">test_the_baseline_is_not_stale_in_either_direction.py</w:t>
            </w:r>
          </w:p>
        </w:tc>
        <w:tc>
          <w:tcPr/>
          <w:p>
            <w:pPr>
              <w:pStyle w:val="Compact"/>
              <w:jc w:val="right"/>
            </w:pPr>
            <w:r>
              <w:t xml:space="preserve">4</w:t>
            </w:r>
          </w:p>
        </w:tc>
        <w:tc>
          <w:tcPr/>
          <w:p>
            <w:pPr>
              <w:pStyle w:val="Compact"/>
            </w:pPr>
            <w:r>
              <w:t xml:space="preserve">The thesis record equal to the thesis</w:t>
            </w:r>
          </w:p>
        </w:tc>
      </w:tr>
      <w:tr>
        <w:tc>
          <w:tcPr/>
          <w:p>
            <w:pPr>
              <w:pStyle w:val="Compact"/>
            </w:pPr>
            <w:r>
              <w:rPr>
                <w:rStyle w:val="VerbatimChar"/>
              </w:rPr>
              <w:t xml:space="preserve">test_the_deployed_build_reads_its_reply.py</w:t>
            </w:r>
          </w:p>
        </w:tc>
        <w:tc>
          <w:tcPr/>
          <w:p>
            <w:pPr>
              <w:pStyle w:val="Compact"/>
              <w:jc w:val="right"/>
            </w:pPr>
            <w:r>
              <w:t xml:space="preserve">4</w:t>
            </w:r>
          </w:p>
        </w:tc>
        <w:tc>
          <w:tcPr/>
          <w:p>
            <w:pPr>
              <w:pStyle w:val="Compact"/>
            </w:pPr>
            <w:r>
              <w:t xml:space="preserve">That the domain serves the build just deployed</w:t>
            </w:r>
          </w:p>
        </w:tc>
      </w:tr>
      <w:tr>
        <w:tc>
          <w:tcPr/>
          <w:p>
            <w:pPr>
              <w:pStyle w:val="Compact"/>
            </w:pPr>
            <w:r>
              <w:rPr>
                <w:rStyle w:val="VerbatimChar"/>
              </w:rPr>
              <w:t xml:space="preserve">test_a_constant_is_not_defined_twice_in_one_file.py</w:t>
            </w:r>
          </w:p>
        </w:tc>
        <w:tc>
          <w:tcPr/>
          <w:p>
            <w:pPr>
              <w:pStyle w:val="Compact"/>
              <w:jc w:val="right"/>
            </w:pPr>
            <w:r>
              <w:t xml:space="preserve">3</w:t>
            </w:r>
          </w:p>
        </w:tc>
        <w:tc>
          <w:tcPr/>
          <w:p>
            <w:pPr>
              <w:pStyle w:val="Compact"/>
            </w:pPr>
            <w:r>
              <w:t xml:space="preserve">A constant bound twice in one scope</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rStyle w:val="VerbatimChar"/>
              </w:rPr>
              <w:t xml:space="preserve">test_no_source_file_carries_a_control_character.py</w:t>
            </w:r>
          </w:p>
        </w:tc>
        <w:tc>
          <w:tcPr/>
          <w:p>
            <w:pPr>
              <w:pStyle w:val="Compact"/>
              <w:jc w:val="right"/>
            </w:pPr>
            <w:r>
              <w:t xml:space="preserve">3</w:t>
            </w:r>
          </w:p>
        </w:tc>
        <w:tc>
          <w:tcPr/>
          <w:p>
            <w:pPr>
              <w:pStyle w:val="Compact"/>
            </w:pPr>
            <w:r>
              <w:t xml:space="preserve">Invisible control bytes</w:t>
            </w:r>
          </w:p>
        </w:tc>
      </w:tr>
      <w:tr>
        <w:tc>
          <w:tcPr/>
          <w:p>
            <w:pPr>
              <w:pStyle w:val="Compact"/>
            </w:pPr>
            <w:r>
              <w:rPr>
                <w:b/>
                <w:bCs/>
              </w:rPr>
              <w:t xml:space="preserve">Total</w:t>
            </w:r>
          </w:p>
        </w:tc>
        <w:tc>
          <w:tcPr/>
          <w:p>
            <w:pPr>
              <w:pStyle w:val="Compact"/>
              <w:jc w:val="right"/>
            </w:pPr>
            <w:r>
              <w:rPr>
                <w:b/>
                <w:bCs/>
              </w:rPr>
              <w:t xml:space="preserve">579</w:t>
            </w:r>
          </w:p>
        </w:tc>
        <w:tc>
          <w:tcPr/>
          <w:p>
            <w:pPr>
              <w:pStyle w:val="Compact"/>
            </w:pPr>
          </w:p>
        </w:tc>
      </w:tr>
    </w:tbl>
    <w:bookmarkEnd w:id="287"/>
    <w:bookmarkStart w:id="288"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8"/>
    <w:bookmarkStart w:id="289"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9"/>
    <w:bookmarkStart w:id="290"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90"/>
    <w:bookmarkStart w:id="291"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91"/>
    <w:bookmarkEnd w:id="292"/>
    <w:bookmarkStart w:id="303"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3"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3"/>
    <w:bookmarkStart w:id="294"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4"/>
    <w:bookmarkStart w:id="295"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5"/>
    <w:bookmarkStart w:id="296"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6"/>
    <w:bookmarkStart w:id="297"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7"/>
    <w:bookmarkStart w:id="298"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8"/>
    <w:bookmarkStart w:id="299"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9"/>
    <w:bookmarkStart w:id="300"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300"/>
    <w:bookmarkStart w:id="301"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301"/>
    <w:bookmarkStart w:id="302"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302"/>
    <w:bookmarkEnd w:id="303"/>
    <w:bookmarkStart w:id="317"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4"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4"/>
    <w:bookmarkStart w:id="305"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60 module</w:t>
      </w:r>
      <w:r>
        <w:t xml:space="preserve"> </w:t>
      </w:r>
      <w:r>
        <w:t xml:space="preserve">nodes and 117 import edges, and at page width its labels render at roughly</w:t>
      </w:r>
      <w:r>
        <w:t xml:space="preserve"> </w:t>
      </w:r>
      <w:r>
        <w:t xml:space="preserve">three points. Collapsing each module to its package leaves 15 nodes and 45</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30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5"/>
    <w:bookmarkStart w:id="315" w:name="h.3-plates"/>
    <w:p>
      <w:pPr>
        <w:pStyle w:val="Heading2"/>
      </w:pPr>
      <w:r>
        <w:t xml:space="preserve">H.3 Plates</w:t>
      </w:r>
    </w:p>
    <w:p>
      <w:pPr>
        <w:pStyle w:val="CaptionedFigure"/>
      </w:pPr>
      <w:r>
        <w:drawing>
          <wp:inline>
            <wp:extent cx="3413760" cy="5792573"/>
            <wp:effectExtent b="0" l="0" r="0" t="0"/>
            <wp:docPr descr="Plate H.1 The complete data model: all seven Pydantic entities with every field and type, and all ten relationships. Figures 4.3 and 4.4 are the two halves of this diagram." title="" id="307" name="Picture"/>
            <a:graphic>
              <a:graphicData uri="http://schemas.openxmlformats.org/drawingml/2006/picture">
                <pic:pic>
                  <pic:nvPicPr>
                    <pic:cNvPr descr="figures/datamodel_full.png" id="308" name="Picture"/>
                    <pic:cNvPicPr>
                      <a:picLocks noChangeArrowheads="1" noChangeAspect="1"/>
                    </pic:cNvPicPr>
                  </pic:nvPicPr>
                  <pic:blipFill>
                    <a:blip r:embed="rId306"/>
                    <a:stretch>
                      <a:fillRect/>
                    </a:stretch>
                  </pic:blipFill>
                  <pic:spPr bwMode="auto">
                    <a:xfrm>
                      <a:off x="0" y="0"/>
                      <a:ext cx="3413760" cy="579257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753135"/>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10" name="Picture"/>
            <a:graphic>
              <a:graphicData uri="http://schemas.openxmlformats.org/drawingml/2006/picture">
                <pic:pic>
                  <pic:nvPicPr>
                    <pic:cNvPr descr="figures/classes_full.png" id="311" name="Picture"/>
                    <pic:cNvPicPr>
                      <a:picLocks noChangeArrowheads="1" noChangeAspect="1"/>
                    </pic:cNvPicPr>
                  </pic:nvPicPr>
                  <pic:blipFill>
                    <a:blip r:embed="rId309"/>
                    <a:stretch>
                      <a:fillRect/>
                    </a:stretch>
                  </pic:blipFill>
                  <pic:spPr bwMode="auto">
                    <a:xfrm>
                      <a:off x="0" y="0"/>
                      <a:ext cx="5334000" cy="4753135"/>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14833005"/>
            <wp:effectExtent b="0" l="0" r="0" t="0"/>
            <wp:docPr descr="Plate H.3 The complete call graph from code2flow: 191 functions and every call between them, grouped by file and class. Figure 5.1 is the subgraph reachable from PipelineOrchestrator.run() within two levels." title="" id="313" name="Picture"/>
            <a:graphic>
              <a:graphicData uri="http://schemas.openxmlformats.org/drawingml/2006/picture">
                <pic:pic>
                  <pic:nvPicPr>
                    <pic:cNvPr descr="figures/callgraph_full.png" id="314" name="Picture"/>
                    <pic:cNvPicPr>
                      <a:picLocks noChangeArrowheads="1" noChangeAspect="1"/>
                    </pic:cNvPicPr>
                  </pic:nvPicPr>
                  <pic:blipFill>
                    <a:blip r:embed="rId312"/>
                    <a:stretch>
                      <a:fillRect/>
                    </a:stretch>
                  </pic:blipFill>
                  <pic:spPr bwMode="auto">
                    <a:xfrm>
                      <a:off x="0" y="0"/>
                      <a:ext cx="4693920" cy="14833005"/>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191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5"/>
    <w:bookmarkStart w:id="316"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6"/>
    <w:bookmarkEnd w:id="317"/>
    <w:bookmarkStart w:id="366"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8">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9">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20">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21">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22">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3">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4">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5">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6">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7">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8">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9">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30">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31">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32">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3">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4">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5">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6">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7">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8">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9">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40">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41">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42">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3">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4">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5">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6">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7">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8">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9">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50">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51">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52">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3">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4">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5">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6">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7">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8">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9">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60">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61">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62">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3">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4">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5">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12" Target="media/rId312.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9" Target="media/rId309.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84" Target="media/rId84.png" /><Relationship Type="http://schemas.openxmlformats.org/officeDocument/2006/relationships/image" Id="rId195" Target="media/rId195.png" /><Relationship Type="http://schemas.openxmlformats.org/officeDocument/2006/relationships/hyperlink" Id="rId326" Target="https://doi.org/10.1002/asi.20317" TargetMode="External" /><Relationship Type="http://schemas.openxmlformats.org/officeDocument/2006/relationships/hyperlink" Id="rId344" Target="https://doi.org/10.1007/978-3-642-04346-8_62" TargetMode="External" /><Relationship Type="http://schemas.openxmlformats.org/officeDocument/2006/relationships/hyperlink" Id="rId357" Target="https://doi.org/10.1007/s100510050359" TargetMode="External" /><Relationship Type="http://schemas.openxmlformats.org/officeDocument/2006/relationships/hyperlink" Id="rId323" Target="https://doi.org/10.1016/S0169-7552(98)00110-X" TargetMode="External" /><Relationship Type="http://schemas.openxmlformats.org/officeDocument/2006/relationships/hyperlink" Id="rId359" Target="https://doi.org/10.1016/j.ipm.2009.03.002" TargetMode="External" /><Relationship Type="http://schemas.openxmlformats.org/officeDocument/2006/relationships/hyperlink" Id="rId327" Target="https://doi.org/10.1016/j.joi.2006.06.001" TargetMode="External" /><Relationship Type="http://schemas.openxmlformats.org/officeDocument/2006/relationships/hyperlink" Id="rId362" Target="https://doi.org/10.1016/j.joi.2016.02.007" TargetMode="External" /><Relationship Type="http://schemas.openxmlformats.org/officeDocument/2006/relationships/hyperlink" Id="rId345" Target="https://doi.org/10.1016/j.joi.2016.10.005" TargetMode="External" /><Relationship Type="http://schemas.openxmlformats.org/officeDocument/2006/relationships/hyperlink" Id="rId360" Target="https://doi.org/10.1016/j.joi.2017.05.014" TargetMode="External" /><Relationship Type="http://schemas.openxmlformats.org/officeDocument/2006/relationships/hyperlink" Id="rId331" Target="https://doi.org/10.1016/j.patrec.2005.10.010" TargetMode="External" /><Relationship Type="http://schemas.openxmlformats.org/officeDocument/2006/relationships/hyperlink" Id="rId320" Target="https://doi.org/10.1038/533452a" TargetMode="External" /><Relationship Type="http://schemas.openxmlformats.org/officeDocument/2006/relationships/hyperlink" Id="rId325" Target="https://doi.org/10.1038/nrn3475" TargetMode="External" /><Relationship Type="http://schemas.openxmlformats.org/officeDocument/2006/relationships/hyperlink" Id="rId337" Target="https://doi.org/10.1073/pnas.0507655102" TargetMode="External" /><Relationship Type="http://schemas.openxmlformats.org/officeDocument/2006/relationships/hyperlink" Id="rId356" Target="https://doi.org/10.1073/pnas.0806977105" TargetMode="External" /><Relationship Type="http://schemas.openxmlformats.org/officeDocument/2006/relationships/hyperlink" Id="rId351" Target="https://doi.org/10.1073/pnas.98.2.404" TargetMode="External" /><Relationship Type="http://schemas.openxmlformats.org/officeDocument/2006/relationships/hyperlink" Id="rId318" Target="https://doi.org/10.1080/00031305.1998.10480550" TargetMode="External" /><Relationship Type="http://schemas.openxmlformats.org/officeDocument/2006/relationships/hyperlink" Id="rId364" Target="https://doi.org/10.1080/01621459.1927.10502953" TargetMode="External" /><Relationship Type="http://schemas.openxmlformats.org/officeDocument/2006/relationships/hyperlink" Id="rId342" Target="https://doi.org/10.1080/15427951.2004.10129091" TargetMode="External" /><Relationship Type="http://schemas.openxmlformats.org/officeDocument/2006/relationships/hyperlink" Id="rId361" Target="https://doi.org/10.1088/1742-5468/2007/06/P06010" TargetMode="External" /><Relationship Type="http://schemas.openxmlformats.org/officeDocument/2006/relationships/hyperlink" Id="rId341" Target="https://doi.org/10.1093/bioinformatics/btg1023" TargetMode="External" /><Relationship Type="http://schemas.openxmlformats.org/officeDocument/2006/relationships/hyperlink" Id="rId343" Target="https://doi.org/10.1093/bioinformatics/btz682" TargetMode="External" /><Relationship Type="http://schemas.openxmlformats.org/officeDocument/2006/relationships/hyperlink" Id="rId347" Target="https://doi.org/10.1093/jamia/ocaa163" TargetMode="External" /><Relationship Type="http://schemas.openxmlformats.org/officeDocument/2006/relationships/hyperlink" Id="rId346" Target="https://doi.org/10.1093/jamia/ocv044" TargetMode="External" /><Relationship Type="http://schemas.openxmlformats.org/officeDocument/2006/relationships/hyperlink" Id="rId330" Target="https://doi.org/10.1093/nar/gku1061" TargetMode="External" /><Relationship Type="http://schemas.openxmlformats.org/officeDocument/2006/relationships/hyperlink" Id="rId354" Target="https://doi.org/10.1126/science.1213847" TargetMode="External" /><Relationship Type="http://schemas.openxmlformats.org/officeDocument/2006/relationships/hyperlink" Id="rId332" Target="https://doi.org/10.1126/science.122.3159.108" TargetMode="External" /><Relationship Type="http://schemas.openxmlformats.org/officeDocument/2006/relationships/hyperlink" Id="rId358" Target="https://doi.org/10.1136/bmj.c332" TargetMode="External" /><Relationship Type="http://schemas.openxmlformats.org/officeDocument/2006/relationships/hyperlink" Id="rId336" Target="https://doi.org/10.1136/bmj.d5928" TargetMode="External" /><Relationship Type="http://schemas.openxmlformats.org/officeDocument/2006/relationships/hyperlink" Id="rId365" Target="https://doi.org/10.1136/bmj.m1328" TargetMode="External" /><Relationship Type="http://schemas.openxmlformats.org/officeDocument/2006/relationships/hyperlink" Id="rId322" Target="https://doi.org/10.1145/1060745.1060827" TargetMode="External" /><Relationship Type="http://schemas.openxmlformats.org/officeDocument/2006/relationships/hyperlink" Id="rId352" Target="https://doi.org/10.1145/1102351.1102430" TargetMode="External" /><Relationship Type="http://schemas.openxmlformats.org/officeDocument/2006/relationships/hyperlink" Id="rId319" Target="https://doi.org/10.1162/coli.07-034-r2" TargetMode="External" /><Relationship Type="http://schemas.openxmlformats.org/officeDocument/2006/relationships/hyperlink" Id="rId363" Target="https://doi.org/10.1162/qss_a_00021" TargetMode="External" /><Relationship Type="http://schemas.openxmlformats.org/officeDocument/2006/relationships/hyperlink" Id="rId335" Target="https://doi.org/10.1162/qss_a_00022" TargetMode="External" /><Relationship Type="http://schemas.openxmlformats.org/officeDocument/2006/relationships/hyperlink" Id="rId328" Target="https://doi.org/10.1177/001316446002000104" TargetMode="External" /><Relationship Type="http://schemas.openxmlformats.org/officeDocument/2006/relationships/hyperlink" Id="rId338" Target="https://doi.org/10.1197/jamia.m1733" TargetMode="External" /><Relationship Type="http://schemas.openxmlformats.org/officeDocument/2006/relationships/hyperlink" Id="rId324" Target="https://doi.org/10.1214/ss/1009213286" TargetMode="External" /><Relationship Type="http://schemas.openxmlformats.org/officeDocument/2006/relationships/hyperlink" Id="rId339" Target="https://doi.org/10.1371/journal.pmed.0020124" TargetMode="External" /><Relationship Type="http://schemas.openxmlformats.org/officeDocument/2006/relationships/hyperlink" Id="rId349" Target="https://doi.org/10.1371/journal.pmed.1000097" TargetMode="External" /><Relationship Type="http://schemas.openxmlformats.org/officeDocument/2006/relationships/hyperlink" Id="rId321" Target="https://doi.org/10.18653/v1/D19-1371" TargetMode="External" /><Relationship Type="http://schemas.openxmlformats.org/officeDocument/2006/relationships/hyperlink" Id="rId353" Target="https://doi.org/10.18653/v1/P18-1019" TargetMode="External" /><Relationship Type="http://schemas.openxmlformats.org/officeDocument/2006/relationships/hyperlink" Id="rId340" Target="https://doi.org/10.18653/v1/W18-2308" TargetMode="External" /><Relationship Type="http://schemas.openxmlformats.org/officeDocument/2006/relationships/hyperlink" Id="rId350" Target="https://doi.org/10.18653/v1/W19-5034" TargetMode="External" /><Relationship Type="http://schemas.openxmlformats.org/officeDocument/2006/relationships/hyperlink" Id="rId334" Target="https://doi.org/10.25080/TCWV9851" TargetMode="External" /><Relationship Type="http://schemas.openxmlformats.org/officeDocument/2006/relationships/hyperlink" Id="rId333" Target="https://doi.org/10.48550/arXiv.1706.04599" TargetMode="External" /><Relationship Type="http://schemas.openxmlformats.org/officeDocument/2006/relationships/hyperlink" Id="rId329" Target="https://doi.org/10.48550/arXiv.2009.09941" TargetMode="External" /><Relationship Type="http://schemas.openxmlformats.org/officeDocument/2006/relationships/hyperlink" Id="rId355" Target="https://doi.org/10.48550/arXiv.2205.01833" TargetMode="External" /><Relationship Type="http://schemas.openxmlformats.org/officeDocument/2006/relationships/hyperlink" Id="rId348"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6" Target="https://doi.org/10.1002/asi.20317" TargetMode="External" /><Relationship Type="http://schemas.openxmlformats.org/officeDocument/2006/relationships/hyperlink" Id="rId344" Target="https://doi.org/10.1007/978-3-642-04346-8_62" TargetMode="External" /><Relationship Type="http://schemas.openxmlformats.org/officeDocument/2006/relationships/hyperlink" Id="rId357" Target="https://doi.org/10.1007/s100510050359" TargetMode="External" /><Relationship Type="http://schemas.openxmlformats.org/officeDocument/2006/relationships/hyperlink" Id="rId323" Target="https://doi.org/10.1016/S0169-7552(98)00110-X" TargetMode="External" /><Relationship Type="http://schemas.openxmlformats.org/officeDocument/2006/relationships/hyperlink" Id="rId359" Target="https://doi.org/10.1016/j.ipm.2009.03.002" TargetMode="External" /><Relationship Type="http://schemas.openxmlformats.org/officeDocument/2006/relationships/hyperlink" Id="rId327" Target="https://doi.org/10.1016/j.joi.2006.06.001" TargetMode="External" /><Relationship Type="http://schemas.openxmlformats.org/officeDocument/2006/relationships/hyperlink" Id="rId362" Target="https://doi.org/10.1016/j.joi.2016.02.007" TargetMode="External" /><Relationship Type="http://schemas.openxmlformats.org/officeDocument/2006/relationships/hyperlink" Id="rId345" Target="https://doi.org/10.1016/j.joi.2016.10.005" TargetMode="External" /><Relationship Type="http://schemas.openxmlformats.org/officeDocument/2006/relationships/hyperlink" Id="rId360" Target="https://doi.org/10.1016/j.joi.2017.05.014" TargetMode="External" /><Relationship Type="http://schemas.openxmlformats.org/officeDocument/2006/relationships/hyperlink" Id="rId331" Target="https://doi.org/10.1016/j.patrec.2005.10.010" TargetMode="External" /><Relationship Type="http://schemas.openxmlformats.org/officeDocument/2006/relationships/hyperlink" Id="rId320" Target="https://doi.org/10.1038/533452a" TargetMode="External" /><Relationship Type="http://schemas.openxmlformats.org/officeDocument/2006/relationships/hyperlink" Id="rId325" Target="https://doi.org/10.1038/nrn3475" TargetMode="External" /><Relationship Type="http://schemas.openxmlformats.org/officeDocument/2006/relationships/hyperlink" Id="rId337" Target="https://doi.org/10.1073/pnas.0507655102" TargetMode="External" /><Relationship Type="http://schemas.openxmlformats.org/officeDocument/2006/relationships/hyperlink" Id="rId356" Target="https://doi.org/10.1073/pnas.0806977105" TargetMode="External" /><Relationship Type="http://schemas.openxmlformats.org/officeDocument/2006/relationships/hyperlink" Id="rId351" Target="https://doi.org/10.1073/pnas.98.2.404" TargetMode="External" /><Relationship Type="http://schemas.openxmlformats.org/officeDocument/2006/relationships/hyperlink" Id="rId318" Target="https://doi.org/10.1080/00031305.1998.10480550" TargetMode="External" /><Relationship Type="http://schemas.openxmlformats.org/officeDocument/2006/relationships/hyperlink" Id="rId364" Target="https://doi.org/10.1080/01621459.1927.10502953" TargetMode="External" /><Relationship Type="http://schemas.openxmlformats.org/officeDocument/2006/relationships/hyperlink" Id="rId342" Target="https://doi.org/10.1080/15427951.2004.10129091" TargetMode="External" /><Relationship Type="http://schemas.openxmlformats.org/officeDocument/2006/relationships/hyperlink" Id="rId361" Target="https://doi.org/10.1088/1742-5468/2007/06/P06010" TargetMode="External" /><Relationship Type="http://schemas.openxmlformats.org/officeDocument/2006/relationships/hyperlink" Id="rId341" Target="https://doi.org/10.1093/bioinformatics/btg1023" TargetMode="External" /><Relationship Type="http://schemas.openxmlformats.org/officeDocument/2006/relationships/hyperlink" Id="rId343" Target="https://doi.org/10.1093/bioinformatics/btz682" TargetMode="External" /><Relationship Type="http://schemas.openxmlformats.org/officeDocument/2006/relationships/hyperlink" Id="rId347" Target="https://doi.org/10.1093/jamia/ocaa163" TargetMode="External" /><Relationship Type="http://schemas.openxmlformats.org/officeDocument/2006/relationships/hyperlink" Id="rId346" Target="https://doi.org/10.1093/jamia/ocv044" TargetMode="External" /><Relationship Type="http://schemas.openxmlformats.org/officeDocument/2006/relationships/hyperlink" Id="rId330" Target="https://doi.org/10.1093/nar/gku1061" TargetMode="External" /><Relationship Type="http://schemas.openxmlformats.org/officeDocument/2006/relationships/hyperlink" Id="rId354" Target="https://doi.org/10.1126/science.1213847" TargetMode="External" /><Relationship Type="http://schemas.openxmlformats.org/officeDocument/2006/relationships/hyperlink" Id="rId332" Target="https://doi.org/10.1126/science.122.3159.108" TargetMode="External" /><Relationship Type="http://schemas.openxmlformats.org/officeDocument/2006/relationships/hyperlink" Id="rId358" Target="https://doi.org/10.1136/bmj.c332" TargetMode="External" /><Relationship Type="http://schemas.openxmlformats.org/officeDocument/2006/relationships/hyperlink" Id="rId336" Target="https://doi.org/10.1136/bmj.d5928" TargetMode="External" /><Relationship Type="http://schemas.openxmlformats.org/officeDocument/2006/relationships/hyperlink" Id="rId365" Target="https://doi.org/10.1136/bmj.m1328" TargetMode="External" /><Relationship Type="http://schemas.openxmlformats.org/officeDocument/2006/relationships/hyperlink" Id="rId322" Target="https://doi.org/10.1145/1060745.1060827" TargetMode="External" /><Relationship Type="http://schemas.openxmlformats.org/officeDocument/2006/relationships/hyperlink" Id="rId352" Target="https://doi.org/10.1145/1102351.1102430" TargetMode="External" /><Relationship Type="http://schemas.openxmlformats.org/officeDocument/2006/relationships/hyperlink" Id="rId319" Target="https://doi.org/10.1162/coli.07-034-r2" TargetMode="External" /><Relationship Type="http://schemas.openxmlformats.org/officeDocument/2006/relationships/hyperlink" Id="rId363" Target="https://doi.org/10.1162/qss_a_00021" TargetMode="External" /><Relationship Type="http://schemas.openxmlformats.org/officeDocument/2006/relationships/hyperlink" Id="rId335" Target="https://doi.org/10.1162/qss_a_00022" TargetMode="External" /><Relationship Type="http://schemas.openxmlformats.org/officeDocument/2006/relationships/hyperlink" Id="rId328" Target="https://doi.org/10.1177/001316446002000104" TargetMode="External" /><Relationship Type="http://schemas.openxmlformats.org/officeDocument/2006/relationships/hyperlink" Id="rId338" Target="https://doi.org/10.1197/jamia.m1733" TargetMode="External" /><Relationship Type="http://schemas.openxmlformats.org/officeDocument/2006/relationships/hyperlink" Id="rId324" Target="https://doi.org/10.1214/ss/1009213286" TargetMode="External" /><Relationship Type="http://schemas.openxmlformats.org/officeDocument/2006/relationships/hyperlink" Id="rId339" Target="https://doi.org/10.1371/journal.pmed.0020124" TargetMode="External" /><Relationship Type="http://schemas.openxmlformats.org/officeDocument/2006/relationships/hyperlink" Id="rId349" Target="https://doi.org/10.1371/journal.pmed.1000097" TargetMode="External" /><Relationship Type="http://schemas.openxmlformats.org/officeDocument/2006/relationships/hyperlink" Id="rId321" Target="https://doi.org/10.18653/v1/D19-1371" TargetMode="External" /><Relationship Type="http://schemas.openxmlformats.org/officeDocument/2006/relationships/hyperlink" Id="rId353" Target="https://doi.org/10.18653/v1/P18-1019" TargetMode="External" /><Relationship Type="http://schemas.openxmlformats.org/officeDocument/2006/relationships/hyperlink" Id="rId340" Target="https://doi.org/10.18653/v1/W18-2308" TargetMode="External" /><Relationship Type="http://schemas.openxmlformats.org/officeDocument/2006/relationships/hyperlink" Id="rId350" Target="https://doi.org/10.18653/v1/W19-5034" TargetMode="External" /><Relationship Type="http://schemas.openxmlformats.org/officeDocument/2006/relationships/hyperlink" Id="rId334" Target="https://doi.org/10.25080/TCWV9851" TargetMode="External" /><Relationship Type="http://schemas.openxmlformats.org/officeDocument/2006/relationships/hyperlink" Id="rId333" Target="https://doi.org/10.48550/arXiv.1706.04599" TargetMode="External" /><Relationship Type="http://schemas.openxmlformats.org/officeDocument/2006/relationships/hyperlink" Id="rId329" Target="https://doi.org/10.48550/arXiv.2009.09941" TargetMode="External" /><Relationship Type="http://schemas.openxmlformats.org/officeDocument/2006/relationships/hyperlink" Id="rId355" Target="https://doi.org/10.48550/arXiv.2205.01833" TargetMode="External" /><Relationship Type="http://schemas.openxmlformats.org/officeDocument/2006/relationships/hyperlink" Id="rId348"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2026-09-30T07:53:30Z</dcterms:created>
  <dcterms:modified xsi:type="dcterms:W3CDTF">2026-09-30T07:53:30Z</dcterms:modified>
</cp:coreProperties>
</file>

<file path=docProps/custom.xml><?xml version="1.0" encoding="utf-8"?>
<Properties xmlns="http://schemas.openxmlformats.org/officeDocument/2006/custom-properties" xmlns:vt="http://schemas.openxmlformats.org/officeDocument/2006/docPropsVTypes"/>
</file>