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311.png" ContentType="image/png"/>
  <Override PartName="/word/media/rId128.png" ContentType="image/png"/>
  <Override PartName="/word/media/rId73.png" ContentType="image/png"/>
  <Override PartName="/word/media/rId308.png" ContentType="image/png"/>
  <Override PartName="/word/media/rId78.png" ContentType="image/png"/>
  <Override PartName="/word/media/rId305.png" ContentType="image/png"/>
  <Override PartName="/word/media/rId84.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Artificial Intelligence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Because typing was the weakest result, a computer-vision reader was</w:t>
      </w:r>
      <w:r>
        <w:t xml:space="preserve"> </w:t>
      </w:r>
      <w:r>
        <w:t xml:space="preserve">added for the CONSORT participant-flow diagrams that most trials publish, where</w:t>
      </w:r>
      <w:r>
        <w:t xml:space="preserve"> </w:t>
      </w:r>
      <w:r>
        <w:t xml:space="preserve">a count's stage is fixed by the box it sits in. Frozen before a held-out set of</w:t>
      </w:r>
      <w:r>
        <w:t xml:space="preserve"> </w:t>
      </w:r>
      <w:r>
        <w:t xml:space="preserve">42 diagrams was collected, it read 61 of 69 stated counts correctly against 2 of</w:t>
      </w:r>
      <w:r>
        <w:t xml:space="preserve"> </w:t>
      </w:r>
      <w:r>
        <w:t xml:space="preserve">69 for the text method on the same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The PDF parsing specified in the project</w:t>
      </w:r>
      <w:r>
        <w:t xml:space="preserve"> </w:t>
      </w:r>
      <w:r>
        <w:t xml:space="preserve">proposal was not built. The system extracts from abstracts and reads</w:t>
      </w:r>
      <w:r>
        <w:t xml:space="preserve"> </w:t>
      </w:r>
      <w:r>
        <w:t xml:space="preserve">open-access full text only as a fallback, when an abstract states no</w:t>
      </w:r>
      <w:r>
        <w:t xml:space="preserve"> </w:t>
      </w:r>
      <w:r>
        <w:t xml:space="preserve">population, and that fallback has not been scored against a gold standard.</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6.1</w:t>
            </w:r>
          </w:p>
        </w:tc>
        <w:tc>
          <w:tcPr/>
          <w:p>
            <w:pPr>
              <w:pStyle w:val="Compact"/>
            </w:pPr>
            <w:r>
              <w:t xml:space="preserve">The flow-diagram reader on a CONSORT diagram</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General full-text parsing.</w:t>
      </w:r>
      <w:r>
        <w:t xml:space="preserve"> </w:t>
      </w:r>
      <w:r>
        <w:t xml:space="preserve">The project proposal specified GROBID</w:t>
      </w:r>
      <w:r>
        <w:t xml:space="preserve"> </w:t>
      </w:r>
      <w:r>
        <w:t xml:space="preserve">[lopez2009grobid] for PDF structure extraction. This was not implemented.</w:t>
      </w:r>
      <w:r>
        <w:t xml:space="preserve"> </w:t>
      </w:r>
      <w:r>
        <w:t xml:space="preserve">Extraction runs on abstracts, with one narrow fallback: when an abstract</w:t>
      </w:r>
      <w:r>
        <w:t xml:space="preserve"> </w:t>
      </w:r>
      <w:r>
        <w:t xml:space="preserve">states no population and Europe PMC holds the paper as open access, the</w:t>
      </w:r>
      <w:r>
        <w:t xml:space="preserve"> </w:t>
      </w:r>
      <w:r>
        <w:t xml:space="preserve">Methods and Results sections of its structured XML are read instead</w:t>
      </w:r>
      <w:r>
        <w:t xml:space="preserve"> </w:t>
      </w:r>
      <w:r>
        <w:t xml:space="preserve">(Section 5.2).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therefore extracts from abstracts,</w:t>
      </w:r>
      <w:r>
        <w:t xml:space="preserve"> </w:t>
      </w:r>
      <w:r>
        <w:t xml:space="preserve">turning to full text only where Europe PMC holds it openly as structured XML</w:t>
      </w:r>
      <w:r>
        <w:t xml:space="preserve"> </w:t>
      </w:r>
      <w:r>
        <w:t xml:space="preserve">(Section 5.2), and Chapter 6 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The gold standard is annotated from abstracts, so sample</w:t>
      </w:r>
      <w:r>
        <w:t xml:space="preserve"> </w:t>
      </w:r>
      <w:r>
        <w:t xml:space="preserve">sizes stated solely in a Methods section are out of scope. The evaluation is</w:t>
      </w:r>
      <w:r>
        <w:t xml:space="preserve"> </w:t>
      </w:r>
      <w:r>
        <w:t xml:space="preserve">fair to the abstract extractor but does not measure the task in general, and</w:t>
      </w:r>
      <w:r>
        <w:t xml:space="preserve"> </w:t>
      </w:r>
      <w:r>
        <w:t xml:space="preserve">it does not measure the pipeline's open-access full-text fallback (Section</w:t>
      </w:r>
      <w:r>
        <w:t xml:space="preserve"> </w:t>
      </w:r>
      <w:r>
        <w:t xml:space="preserve">5.2) at all.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 with a fallback to open-access XML full text added later (§5.2)</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401913"/>
            <wp:effectExtent b="0" l="0" r="0" t="0"/>
            <wp:docPr descr="Figure 4.1 Inter-package dependencies, produced by running pyreverse over src/citegraph and collapsing its 52 module nodes to the 14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401913"/>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52 module nodes to the 14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api</w:t>
      </w:r>
      <w:r>
        <w:t xml:space="preserve">,</w:t>
      </w:r>
      <w:r>
        <w:t xml:space="preserve"> </w:t>
      </w:r>
      <w:r>
        <w:rPr>
          <w:rStyle w:val="VerbatimChar"/>
        </w:rPr>
        <w:t xml:space="preserve">citations</w:t>
      </w:r>
      <w:r>
        <w:t xml:space="preserve">,</w:t>
      </w:r>
      <w:r>
        <w:t xml:space="preserve"> </w:t>
      </w:r>
      <w:r>
        <w:rPr>
          <w:rStyle w:val="VerbatimChar"/>
        </w:rPr>
        <w:t xml:space="preserve">metadata</w:t>
      </w:r>
      <w:r>
        <w:t xml:space="preserve">,</w:t>
      </w:r>
      <w:r>
        <w:t xml:space="preserve"> </w:t>
      </w:r>
      <w:r>
        <w:rPr>
          <w:rStyle w:val="VerbatimChar"/>
        </w:rPr>
        <w:t xml:space="preserve">pipeline</w:t>
      </w:r>
      <w:r>
        <w:t xml:space="preserve"> </w:t>
      </w:r>
      <w:r>
        <w:t xml:space="preserve">and</w:t>
      </w:r>
      <w:r>
        <w:t xml:space="preserve"> </w:t>
      </w:r>
      <w:r>
        <w:rPr>
          <w:rStyle w:val="VerbatimChar"/>
        </w:rPr>
        <w:t xml:space="preserve">vision</w:t>
      </w:r>
      <w:r>
        <w:t xml:space="preserve"> </w:t>
      </w:r>
      <w:r>
        <w:t xml:space="preserve">but</w:t>
      </w:r>
      <w:r>
        <w:t xml:space="preserve"> </w:t>
      </w:r>
      <w:r>
        <w:t xml:space="preserve">reaches back only to</w:t>
      </w:r>
      <w:r>
        <w:t xml:space="preserve"> </w:t>
      </w:r>
      <w:r>
        <w:rPr>
          <w:rStyle w:val="VerbatimChar"/>
        </w:rPr>
        <w:t xml:space="preserve">models</w:t>
      </w:r>
      <w:r>
        <w:t xml:space="preserve">,</w:t>
      </w:r>
      <w:r>
        <w:t xml:space="preserve"> </w:t>
      </w:r>
      <w:r>
        <w:rPr>
          <w:rStyle w:val="VerbatimChar"/>
        </w:rPr>
        <w:t xml:space="preserve">config</w:t>
      </w:r>
      <w:r>
        <w:t xml:space="preserve"> </w:t>
      </w:r>
      <w:r>
        <w:t xml:space="preserve">and</w:t>
      </w:r>
      <w:r>
        <w:t xml:space="preserve"> </w:t>
      </w:r>
      <w:r>
        <w:rPr>
          <w:rStyle w:val="VerbatimChar"/>
        </w:rPr>
        <w:t xml:space="preserve">utils</w:t>
      </w:r>
      <w:r>
        <w:t xml:space="preserve">, which is what makes the</w:t>
      </w:r>
      <w:r>
        <w:t xml:space="preserve"> </w:t>
      </w:r>
      <w:r>
        <w:t xml:space="preserve">Europe PMC</w:t>
      </w:r>
      <w:r>
        <w:t xml:space="preserve"> </w:t>
      </w:r>
      <w:r>
        <w:t xml:space="preserve">backfill of Section 4.4.3 a local change.</w:t>
      </w:r>
    </w:p>
    <w:p>
      <w:pPr>
        <w:pStyle w:val="CaptionedFigure"/>
      </w:pPr>
      <w:r>
        <w:drawing>
          <wp:inline>
            <wp:extent cx="5067300" cy="3793655"/>
            <wp:effectExtent b="0" l="0" r="0" t="0"/>
            <wp:docPr descr="Figure 4.2 Object composition among the classes that participate in a relationship, from pyreverse with the 19 unrelated classes removed. PipelineOrchestrator composes ten collaborators, the stage modules and the two providers it calls directly;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793655"/>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19 unrelated classes removed.</w:t>
      </w:r>
      <w:r>
        <w:t xml:space="preserve"> </w:t>
      </w:r>
      <w:r>
        <w:rPr>
          <w:rStyle w:val="VerbatimChar"/>
        </w:rPr>
        <w:t xml:space="preserve">PipelineOrchestrator</w:t>
      </w:r>
      <w:r>
        <w:t xml:space="preserve"> </w:t>
      </w:r>
      <w:r>
        <w:t xml:space="preserve">composes ten collaborators, the stage modules and the</w:t>
      </w:r>
      <w:r>
        <w:t xml:space="preserve"> </w:t>
      </w:r>
      <w:r>
        <w:t xml:space="preserve">two providers it calls directly;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001804"/>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001804"/>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684798"/>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684798"/>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influence + 0.3 · year_score + 0.2 · evidence_score</w:t>
      </w:r>
      <w:r>
        <w:br/>
      </w:r>
      <w:r>
        <w:rPr>
          <w:rStyle w:val="VerbatimChar"/>
        </w:rPr>
        <w:t xml:space="preserve">influence = PageRank / (largest PageRank among the ranked papers)</w:t>
      </w:r>
    </w:p>
    <w:p>
      <w:pPr>
        <w:pStyle w:val="FirstParagraph"/>
      </w:pPr>
      <w:r>
        <w:rPr>
          <w:rStyle w:val="VerbatimChar"/>
        </w:rPr>
        <w:t xml:space="preserve">influence</w:t>
      </w:r>
      <w:r>
        <w:t xml:space="preserve"> </w:t>
      </w:r>
      <w:r>
        <w:t xml:space="preserve">runs from 0 to 1, as the other two terms do, and the seed is left</w:t>
      </w:r>
      <w:r>
        <w:t xml:space="preserve"> </w:t>
      </w:r>
      <w:r>
        <w:t xml:space="preserve">out of its own ranking; Section 5.6.4 records why both were needed.</w:t>
      </w:r>
      <w:r>
        <w:t xml:space="preserve"> </w:t>
      </w: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4"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ten stages in sequence: normalise input, resolve</w:t>
      </w:r>
      <w:r>
        <w:t xml:space="preserve"> </w:t>
      </w:r>
      <w:r>
        <w:t xml:space="preserve">seed, traverse citations, backfill abstracts, extract populations, resolve</w:t>
      </w:r>
      <w:r>
        <w:t xml:space="preserve"> </w:t>
      </w:r>
      <w:r>
        <w:t xml:space="preserve">populations, recover populations from full text, weight edges, build graph, run</w:t>
      </w:r>
      <w:r>
        <w:t xml:space="preserve"> </w:t>
      </w:r>
      <w:r>
        <w:t xml:space="preserve">analytics. Each stage is a separate module; the orchestrator holds no domain</w:t>
      </w:r>
      <w:r>
        <w:t xml:space="preserve"> </w:t>
      </w:r>
      <w:r>
        <w:t xml:space="preserve">logic beyond sequencing and the assembly of warnings.</w:t>
      </w:r>
    </w:p>
    <w:p>
      <w:pPr>
        <w:pStyle w:val="BodyText"/>
      </w:pPr>
      <w:r>
        <w:t xml:space="preserve">The full-text stage runs only for papers whose abstract gave no population. For</w:t>
      </w:r>
      <w:r>
        <w:t xml:space="preserve"> </w:t>
      </w:r>
      <w:r>
        <w:t xml:space="preserve">each one that Europe PMC holds as open access, it fetches the article's JATS</w:t>
      </w:r>
      <w:r>
        <w:t xml:space="preserve"> </w:t>
      </w:r>
      <w:r>
        <w:t xml:space="preserve">XML, keeps the sections headed as Methods or Results, and runs the same</w:t>
      </w:r>
      <w:r>
        <w:t xml:space="preserve"> </w:t>
      </w:r>
      <w:r>
        <w:t xml:space="preserve">extractor over them, capped at 250,000 characters a paper. A candidate is kept</w:t>
      </w:r>
      <w:r>
        <w:t xml:space="preserve"> </w:t>
      </w:r>
      <w:r>
        <w:t xml:space="preserve">only when its sentence contains a participant term such as</w:t>
      </w:r>
      <w:r>
        <w:t xml:space="preserve"> </w:t>
      </w:r>
      <w:r>
        <w:rPr>
          <w:i/>
          <w:iCs/>
        </w:rPr>
        <w:t xml:space="preserve">patients</w:t>
      </w:r>
      <w:r>
        <w:t xml:space="preserve">,</w:t>
      </w:r>
      <w:r>
        <w:t xml:space="preserve"> </w:t>
      </w:r>
      <w:r>
        <w:rPr>
          <w:i/>
          <w:iCs/>
        </w:rPr>
        <w:t xml:space="preserve">randomised</w:t>
      </w:r>
      <w:r>
        <w:t xml:space="preserve"> </w:t>
      </w:r>
      <w:r>
        <w:t xml:space="preserve">or</w:t>
      </w:r>
      <w:r>
        <w:t xml:space="preserve"> </w:t>
      </w:r>
      <w:r>
        <w:rPr>
          <w:i/>
          <w:iCs/>
        </w:rPr>
        <w:t xml:space="preserve">enrolled</w:t>
      </w:r>
      <w:r>
        <w:t xml:space="preserve">. In the repeated 100-paper run of Section 6.6.6 this</w:t>
      </w:r>
      <w:r>
        <w:t xml:space="preserve"> </w:t>
      </w:r>
      <w:r>
        <w:t xml:space="preserve">stage supplied a population for 9 papers. It has unit tests, but unlike</w:t>
      </w:r>
      <w:r>
        <w:t xml:space="preserve"> </w:t>
      </w:r>
      <w:r>
        <w:t xml:space="preserve">abstract extraction it has not been scored against a gold standard. Two</w:t>
      </w:r>
      <w:r>
        <w:t xml:space="preserve"> </w:t>
      </w:r>
      <w:r>
        <w:t xml:space="preserve">further readers, one for dataset sizes in computer-science papers on arXiv and</w:t>
      </w:r>
      <w:r>
        <w:t xml:space="preserve"> </w:t>
      </w:r>
      <w:r>
        <w:t xml:space="preserve">the flow-diagram reader of Section 6.14, run only when a user asks for them</w:t>
      </w:r>
      <w:r>
        <w:t xml:space="preserve"> </w:t>
      </w:r>
      <w:r>
        <w:t xml:space="preserve">from the dashboard, so neither is part of a run.</w:t>
      </w:r>
    </w:p>
    <w:p>
      <w:pPr>
        <w:pStyle w:val="CaptionedFigure"/>
      </w:pPr>
      <w:r>
        <w:drawing>
          <wp:inline>
            <wp:extent cx="3307080" cy="574473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74473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two exceptions are</w:t>
      </w:r>
      <w:r>
        <w:t xml:space="preserve"> </w:t>
      </w:r>
      <w:r>
        <w:rPr>
          <w:rStyle w:val="VerbatimChar"/>
        </w:rPr>
        <w:t xml:space="preserve">_backfill_abstracts()</w:t>
      </w:r>
      <w:r>
        <w:t xml:space="preserve"> </w:t>
      </w:r>
      <w:r>
        <w:t xml:space="preserve">and</w:t>
      </w:r>
      <w:r>
        <w:t xml:space="preserve"> </w:t>
      </w:r>
      <w:r>
        <w:rPr>
          <w:rStyle w:val="VerbatimChar"/>
        </w:rPr>
        <w:t xml:space="preserve">_recover_from_full_text()</w:t>
      </w:r>
      <w:r>
        <w:t xml:space="preserve">, which</w:t>
      </w:r>
      <w:r>
        <w:t xml:space="preserve"> </w:t>
      </w:r>
      <w:r>
        <w:rPr>
          <w:rStyle w:val="VerbatimChar"/>
        </w:rPr>
        <w:t xml:space="preserve">run()</w:t>
      </w:r>
      <w:r>
        <w:t xml:space="preserve"> </w:t>
      </w:r>
      <w:r>
        <w:t xml:space="preserve">delegates to and which in turn call</w:t>
      </w:r>
      <w:r>
        <w:t xml:space="preserve"> </w:t>
      </w:r>
      <w:r>
        <w:t xml:space="preserve">the Europe PMC provider. Both are separate methods rather than inline code</w:t>
      </w:r>
      <w:r>
        <w:t xml:space="preserve"> </w:t>
      </w:r>
      <w:r>
        <w:t xml:space="preserve">because both are conditional: the first is skipped when every abstract is</w:t>
      </w:r>
      <w:r>
        <w:t xml:space="preserve"> </w:t>
      </w:r>
      <w:r>
        <w:t xml:space="preserve">present, the second when every paper already has a population.</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9"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Start w:id="148" w:name="Xbf160e12fba2e7e2021fd507aecb78938b03906"/>
    <w:p>
      <w:pPr>
        <w:pStyle w:val="Heading3"/>
      </w:pPr>
      <w:r>
        <w:t xml:space="preserve">5.6.4 The weights reached the graph but not the ranking</w:t>
      </w:r>
    </w:p>
    <w:p>
      <w:pPr>
        <w:pStyle w:val="FirstParagraph"/>
      </w:pPr>
      <w:r>
        <w:t xml:space="preserve">A second fault on the same path was found much later, when the comparison RQ3</w:t>
      </w:r>
      <w:r>
        <w:t xml:space="preserve"> </w:t>
      </w:r>
      <w:r>
        <w:t xml:space="preserve">needs was finally run (</w:t>
      </w:r>
      <w:r>
        <w:rPr>
          <w:rStyle w:val="VerbatimChar"/>
        </w:rPr>
        <w:t xml:space="preserve">scripts/compare_rankings.py</w:t>
      </w:r>
      <w:r>
        <w:t xml:space="preserve">). The foundational ranking</w:t>
      </w:r>
      <w:r>
        <w:t xml:space="preserve"> </w:t>
      </w:r>
      <w:r>
        <w:t xml:space="preserve">of Section 4.6.1 added 0.5 · PageRank to 0.3 · year_score and 0.2 ·</w:t>
      </w:r>
      <w:r>
        <w:t xml:space="preserve"> </w:t>
      </w:r>
      <w:r>
        <w:t xml:space="preserve">evidence_score. The age and evidence terms run from 0 to 1 for each paper, but</w:t>
      </w:r>
      <w:r>
        <w:t xml:space="preserve"> </w:t>
      </w:r>
      <w:r>
        <w:t xml:space="preserve">PageRank values sum to 1 over the whole graph, so in a 100-paper graph a typical</w:t>
      </w:r>
      <w:r>
        <w:t xml:space="preserve"> </w:t>
      </w:r>
      <w:r>
        <w:t xml:space="preserve">paper scores about 0.01. On the three evaluation seeds the PageRank term</w:t>
      </w:r>
      <w:r>
        <w:t xml:space="preserve"> </w:t>
      </w:r>
      <w:r>
        <w:t xml:space="preserve">supplied about 1% of a top-ten paper's score, and replacing the</w:t>
      </w:r>
      <w:r>
        <w:t xml:space="preserve"> </w:t>
      </w:r>
      <w:r>
        <w:t xml:space="preserve">evidence-weighted edges with unweighted ones left every top ten with the same</w:t>
      </w:r>
      <w:r>
        <w:t xml:space="preserve"> </w:t>
      </w:r>
      <w:r>
        <w:t xml:space="preserve">papers (commit</w:t>
      </w:r>
      <w:r>
        <w:t xml:space="preserve"> </w:t>
      </w:r>
      <w:r>
        <w:rPr>
          <w:rStyle w:val="VerbatimChar"/>
        </w:rPr>
        <w:t xml:space="preserve">c3dfdcd</w:t>
      </w:r>
      <w:r>
        <w:t xml:space="preserve">). The weights of Section 4.5 were computed correctly</w:t>
      </w:r>
      <w:r>
        <w:t xml:space="preserve"> </w:t>
      </w:r>
      <w:r>
        <w:t xml:space="preserve">and reached the graph, and the ranking the dashboard shows ignored them.</w:t>
      </w:r>
    </w:p>
    <w:p>
      <w:pPr>
        <w:pStyle w:val="BodyText"/>
      </w:pPr>
      <w:r>
        <w:t xml:space="preserve">Like the zero weights above, this raised no error and showed no symptom. The</w:t>
      </w:r>
      <w:r>
        <w:t xml:space="preserve"> </w:t>
      </w:r>
      <w:r>
        <w:t xml:space="preserve">rankings looked plausible because age and study size are plausible signals on</w:t>
      </w:r>
      <w:r>
        <w:t xml:space="preserve"> </w:t>
      </w:r>
      <w:r>
        <w:t xml:space="preserve">their own.</w:t>
      </w:r>
    </w:p>
    <w:p>
      <w:pPr>
        <w:pStyle w:val="BodyText"/>
      </w:pPr>
      <w:r>
        <w:t xml:space="preserve">The fix divides PageRank by its largest value among the ranked papers, so</w:t>
      </w:r>
      <w:r>
        <w:t xml:space="preserve"> </w:t>
      </w:r>
      <w:r>
        <w:t xml:space="preserve">influence runs from 0 to 1 like the other terms. It also leaves the seed out of</w:t>
      </w:r>
      <w:r>
        <w:t xml:space="preserve"> </w:t>
      </w:r>
      <w:r>
        <w:t xml:space="preserve">its own ranking: in all three graphs the seed had the highest PageRank, so it</w:t>
      </w:r>
      <w:r>
        <w:t xml:space="preserve"> </w:t>
      </w:r>
      <w:r>
        <w:t xml:space="preserve">would otherwise have headed its own list of foundations and set the scale for</w:t>
      </w:r>
      <w:r>
        <w:t xml:space="preserve"> </w:t>
      </w:r>
      <w:r>
        <w:t xml:space="preserve">everything below it.</w:t>
      </w:r>
    </w:p>
    <w:tbl>
      <w:tblPr>
        <w:tblStyle w:val="Table"/>
        <w:tblW w:type="pct" w:w="5000"/>
        <w:tblLayout w:type="fixed"/>
        <w:tblLook w:firstRow="1" w:lastRow="0" w:firstColumn="0" w:lastColumn="0" w:noHBand="0" w:noVBand="0" w:val="0020"/>
      </w:tblPr>
      <w:tblGrid>
        <w:gridCol w:w="1307"/>
        <w:gridCol w:w="2470"/>
        <w:gridCol w:w="2034"/>
        <w:gridCol w:w="2107"/>
      </w:tblGrid>
      <w:tr>
        <w:trPr>
          <w:tblHeader w:val="on"/>
        </w:trPr>
        <w:tc>
          <w:tcPr/>
          <w:p>
            <w:pPr>
              <w:pStyle w:val="Compact"/>
            </w:pPr>
            <w:r>
              <w:t xml:space="preserve">Seed, 100 papers</w:t>
            </w:r>
          </w:p>
        </w:tc>
        <w:tc>
          <w:tcPr/>
          <w:p>
            <w:pPr>
              <w:pStyle w:val="Compact"/>
              <w:jc w:val="right"/>
            </w:pPr>
            <w:r>
              <w:t xml:space="preserve">PageRank share of a top-ten score</w:t>
            </w:r>
          </w:p>
        </w:tc>
        <w:tc>
          <w:tcPr/>
          <w:p>
            <w:pPr>
              <w:pStyle w:val="Compact"/>
              <w:jc w:val="right"/>
            </w:pPr>
            <w:r>
              <w:t xml:space="preserve">Top ten changed by the fix</w:t>
            </w:r>
          </w:p>
        </w:tc>
        <w:tc>
          <w:tcPr/>
          <w:p>
            <w:pPr>
              <w:pStyle w:val="Compact"/>
            </w:pPr>
            <w:r>
              <w:t xml:space="preserve">Changed by unweighted edges</w:t>
            </w:r>
          </w:p>
        </w:tc>
      </w:tr>
      <w:tr>
        <w:tc>
          <w:tcPr/>
          <w:p>
            <w:pPr>
              <w:pStyle w:val="Compact"/>
            </w:pPr>
            <w:r>
              <w:t xml:space="preserve">COVID-19 in China</w:t>
            </w:r>
          </w:p>
        </w:tc>
        <w:tc>
          <w:tcPr/>
          <w:p>
            <w:pPr>
              <w:pStyle w:val="Compact"/>
              <w:jc w:val="right"/>
            </w:pPr>
            <w:r>
              <w:t xml:space="preserve">1% before, 39% after</w:t>
            </w:r>
          </w:p>
        </w:tc>
        <w:tc>
          <w:tcPr/>
          <w:p>
            <w:pPr>
              <w:pStyle w:val="Compact"/>
              <w:jc w:val="right"/>
            </w:pPr>
            <w:r>
              <w:t xml:space="preserve">3 papers</w:t>
            </w:r>
          </w:p>
        </w:tc>
        <w:tc>
          <w:tcPr/>
          <w:p>
            <w:pPr>
              <w:pStyle w:val="Compact"/>
            </w:pPr>
            <w:r>
              <w:t xml:space="preserve">2 papers</w:t>
            </w:r>
          </w:p>
        </w:tc>
      </w:tr>
      <w:tr>
        <w:tc>
          <w:tcPr/>
          <w:p>
            <w:pPr>
              <w:pStyle w:val="Compact"/>
            </w:pPr>
            <w:r>
              <w:t xml:space="preserve">AlphaFold</w:t>
            </w:r>
          </w:p>
        </w:tc>
        <w:tc>
          <w:tcPr/>
          <w:p>
            <w:pPr>
              <w:pStyle w:val="Compact"/>
              <w:jc w:val="right"/>
            </w:pPr>
            <w:r>
              <w:t xml:space="preserve">1% before, 58% after</w:t>
            </w:r>
          </w:p>
        </w:tc>
        <w:tc>
          <w:tcPr/>
          <w:p>
            <w:pPr>
              <w:pStyle w:val="Compact"/>
              <w:jc w:val="right"/>
            </w:pPr>
            <w:r>
              <w:t xml:space="preserve">none</w:t>
            </w:r>
          </w:p>
        </w:tc>
        <w:tc>
          <w:tcPr/>
          <w:p>
            <w:pPr>
              <w:pStyle w:val="Compact"/>
            </w:pPr>
            <w:r>
              <w:t xml:space="preserve">none</w:t>
            </w:r>
          </w:p>
        </w:tc>
      </w:tr>
      <w:tr>
        <w:tc>
          <w:tcPr/>
          <w:p>
            <w:pPr>
              <w:pStyle w:val="Compact"/>
            </w:pPr>
            <w:r>
              <w:t xml:space="preserve">Dapagliflozin in heart failure</w:t>
            </w:r>
          </w:p>
        </w:tc>
        <w:tc>
          <w:tcPr/>
          <w:p>
            <w:pPr>
              <w:pStyle w:val="Compact"/>
              <w:jc w:val="right"/>
            </w:pPr>
            <w:r>
              <w:t xml:space="preserve">1% before, 44% after</w:t>
            </w:r>
          </w:p>
        </w:tc>
        <w:tc>
          <w:tcPr/>
          <w:p>
            <w:pPr>
              <w:pStyle w:val="Compact"/>
              <w:jc w:val="right"/>
            </w:pPr>
            <w:r>
              <w:t xml:space="preserve">4 papers</w:t>
            </w:r>
          </w:p>
        </w:tc>
        <w:tc>
          <w:tcPr/>
          <w:p>
            <w:pPr>
              <w:pStyle w:val="Compact"/>
            </w:pPr>
            <w:r>
              <w:t xml:space="preserve">order only</w:t>
            </w:r>
          </w:p>
        </w:tc>
      </w:tr>
    </w:tbl>
    <w:p>
      <w:pPr>
        <w:pStyle w:val="BodyText"/>
      </w:pPr>
      <w:r>
        <w:t xml:space="preserve">The weighting now reaches the ranking, but its effect is modest: it changes</w:t>
      </w:r>
      <w:r>
        <w:t xml:space="preserve"> </w:t>
      </w:r>
      <w:r>
        <w:t xml:space="preserve">which papers make the top ten for one seed in three. Three tests in</w:t>
      </w:r>
      <w:r>
        <w:t xml:space="preserve"> </w:t>
      </w:r>
      <w:r>
        <w:rPr>
          <w:rStyle w:val="VerbatimChar"/>
        </w:rPr>
        <w:t xml:space="preserve">tests/test_ranking.py</w:t>
      </w:r>
      <w:r>
        <w:t xml:space="preserve"> </w:t>
      </w:r>
      <w:r>
        <w:t xml:space="preserve">hold the fix in place, and each fails on the old</w:t>
      </w:r>
      <w:r>
        <w:t xml:space="preserve"> </w:t>
      </w:r>
      <w:r>
        <w:t xml:space="preserve">formula: a paper every other paper cites must outrank an older paper nobody</w:t>
      </w:r>
      <w:r>
        <w:t xml:space="preserve"> </w:t>
      </w:r>
      <w:r>
        <w:t xml:space="preserve">cites, edges carrying more evidence must lift the paper they point to, and the</w:t>
      </w:r>
      <w:r>
        <w:t xml:space="preserve"> </w:t>
      </w:r>
      <w:r>
        <w:t xml:space="preserve">seed must not appear in its own ranking.</w:t>
      </w:r>
    </w:p>
    <w:bookmarkEnd w:id="148"/>
    <w:bookmarkEnd w:id="149"/>
    <w:bookmarkStart w:id="150"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50"/>
    <w:bookmarkStart w:id="151"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1"/>
    <w:bookmarkStart w:id="152"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2"/>
    <w:bookmarkStart w:id="153"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3"/>
    <w:bookmarkEnd w:id="154"/>
    <w:bookmarkStart w:id="165"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6"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5"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5"/>
    <w:bookmarkEnd w:id="156"/>
    <w:bookmarkStart w:id="157"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7"/>
    <w:bookmarkStart w:id="162"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8"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8"/>
    <w:bookmarkStart w:id="159"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9"/>
    <w:bookmarkStart w:id="160"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60"/>
    <w:bookmarkStart w:id="161"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1"/>
    <w:bookmarkEnd w:id="162"/>
    <w:bookmarkStart w:id="163"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3"/>
    <w:bookmarkStart w:id="164"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4"/>
    <w:bookmarkEnd w:id="165"/>
    <w:bookmarkStart w:id="187"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9" w:name="gold-standard"/>
    <w:p>
      <w:pPr>
        <w:pStyle w:val="Heading2"/>
      </w:pPr>
      <w:r>
        <w:t xml:space="preserve">6.1 Gold Standard</w:t>
      </w:r>
    </w:p>
    <w:bookmarkStart w:id="166"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6"/>
    <w:bookmarkStart w:id="167"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7"/>
    <w:bookmarkStart w:id="168"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annotated from abstracts only, biomedical concentration.</w:t>
      </w:r>
    </w:p>
    <w:bookmarkEnd w:id="168"/>
    <w:bookmarkEnd w:id="169"/>
    <w:bookmarkStart w:id="170"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70"/>
    <w:bookmarkStart w:id="171"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1"/>
    <w:bookmarkStart w:id="176" w:name="population-extraction-1"/>
    <w:p>
      <w:pPr>
        <w:pStyle w:val="Heading2"/>
      </w:pPr>
      <w:r>
        <w:t xml:space="preserve">6.4 Population Extraction</w:t>
      </w:r>
    </w:p>
    <w:bookmarkStart w:id="172"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2"/>
    <w:bookmarkStart w:id="173"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3"/>
    <w:bookmarkStart w:id="174"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4"/>
    <w:bookmarkStart w:id="175"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5"/>
    <w:bookmarkEnd w:id="176"/>
    <w:bookmarkStart w:id="177"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Seeded with the 2021 AlphaFold paper, the system</w:t>
      </w:r>
      <w:r>
        <w:t xml:space="preserve"> </w:t>
      </w:r>
      <w:r>
        <w:t xml:space="preserve">ranks Anfinsen's 1973</w:t>
      </w:r>
      <w:r>
        <w:t xml:space="preserve"> </w:t>
      </w:r>
      <w:r>
        <w:rPr>
          <w:i/>
          <w:iCs/>
        </w:rPr>
        <w:t xml:space="preserve">"Principles that Govern the Folding of Protein Chains"</w:t>
      </w:r>
      <w:r>
        <w:t xml:space="preserve">,</w:t>
      </w:r>
      <w:r>
        <w:t xml:space="preserve"> </w:t>
      </w:r>
      <w:r>
        <w:t xml:space="preserve">the work that founded the protein-folding problem, among its top two</w:t>
      </w:r>
      <w:r>
        <w:t xml:space="preserve"> </w:t>
      </w:r>
      <w:r>
        <w:t xml:space="preserve">foundational papers. That is the behaviour the design intends, but it is weaker</w:t>
      </w:r>
      <w:r>
        <w:t xml:space="preserve"> </w:t>
      </w:r>
      <w:r>
        <w:t xml:space="preserve">evidence than it looks. Anfinsen's paper ties on every term with the 1993 paper</w:t>
      </w:r>
      <w:r>
        <w:t xml:space="preserve"> </w:t>
      </w:r>
      <w:r>
        <w:t xml:space="preserve">listed above it: most of that graph's references are cited only by the seed, so</w:t>
      </w:r>
      <w:r>
        <w:t xml:space="preserve"> </w:t>
      </w:r>
      <w:r>
        <w:t xml:space="preserve">PageRank cannot separate them, and the age term stops growing at twenty years.</w:t>
      </w:r>
      <w:r>
        <w:t xml:space="preserve"> </w:t>
      </w:r>
      <w:r>
        <w:t xml:space="preserve">The comparison against unweighted PageRank has now been run (Section 5.6.4). It</w:t>
      </w:r>
      <w:r>
        <w:t xml:space="preserve"> </w:t>
      </w:r>
      <w:r>
        <w:t xml:space="preserve">first showed that the weighting did not reach the ranking at all, and after the</w:t>
      </w:r>
      <w:r>
        <w:t xml:space="preserve"> </w:t>
      </w:r>
      <w:r>
        <w:t xml:space="preserve">fix it changes the top ten for one seed in three. No relevance judgement study</w:t>
      </w:r>
      <w:r>
        <w:t xml:space="preserve"> </w:t>
      </w:r>
      <w:r>
        <w:t xml:space="preserve">was conducted, so whether those changes are improvements is unknown; Section</w:t>
      </w:r>
      <w:r>
        <w:t xml:space="preserve"> </w:t>
      </w:r>
      <w:r>
        <w:t xml:space="preserve">7.3 records this as the principal unaddressed question.</w:t>
      </w:r>
    </w:p>
    <w:bookmarkEnd w:id="177"/>
    <w:bookmarkStart w:id="184" w:name="performance"/>
    <w:p>
      <w:pPr>
        <w:pStyle w:val="Heading2"/>
      </w:pPr>
      <w:r>
        <w:t xml:space="preserve">6.6 Performance</w:t>
      </w:r>
    </w:p>
    <w:bookmarkStart w:id="178"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8"/>
    <w:bookmarkStart w:id="179"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9"/>
    <w:bookmarkStart w:id="180"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80"/>
    <w:bookmarkStart w:id="181"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1"/>
    <w:bookmarkStart w:id="182"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2"/>
    <w:bookmarkStart w:id="183"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3"/>
    <w:bookmarkEnd w:id="184"/>
    <w:bookmarkStart w:id="185"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5"/>
    <w:bookmarkStart w:id="186"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6"/>
    <w:bookmarkEnd w:id="187"/>
    <w:bookmarkStart w:id="193" w:name="chapter-6-continued-extended-analysis"/>
    <w:p>
      <w:pPr>
        <w:pStyle w:val="Heading1"/>
      </w:pPr>
      <w:r>
        <w:t xml:space="preserve">Chapter 6 (continued): Extended Analysis</w:t>
      </w:r>
    </w:p>
    <w:bookmarkStart w:id="188"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8"/>
    <w:bookmarkStart w:id="189"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9"/>
    <w:bookmarkStart w:id="190"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90"/>
    <w:bookmarkStart w:id="191"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1"/>
    <w:bookmarkStart w:id="192"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2"/>
    <w:bookmarkEnd w:id="193"/>
    <w:bookmarkStart w:id="205" w:name="Xc33201fe9a80468fe0b2bbb1225d9292ff28d0b"/>
    <w:p>
      <w:pPr>
        <w:pStyle w:val="Heading1"/>
      </w:pPr>
      <w:r>
        <w:t xml:space="preserve">Chapter 6 (continued): Reading Participant-Flow Diagrams</w:t>
      </w:r>
    </w:p>
    <w:bookmarkStart w:id="204" w:name="X3c4c3180bf7a0006e16ce8925c409ba37278c41"/>
    <w:p>
      <w:pPr>
        <w:pStyle w:val="Heading2"/>
      </w:pPr>
      <w:r>
        <w:t xml:space="preserve">6.14 A computer-vision reader for CONSORT flow diagrams</w:t>
      </w:r>
    </w:p>
    <w:bookmarkStart w:id="194" w:name="why-read-the-diagram"/>
    <w:p>
      <w:pPr>
        <w:pStyle w:val="Heading3"/>
      </w:pPr>
      <w:r>
        <w:t xml:space="preserve">6.14.1 Why read the diagram</w:t>
      </w:r>
    </w:p>
    <w:p>
      <w:pPr>
        <w:pStyle w:val="FirstParagraph"/>
      </w:pPr>
      <w:r>
        <w:t xml:space="preserve">The weakest measured result in this chapter is semantic typing: of ten</w:t>
      </w:r>
      <w:r>
        <w:t xml:space="preserve"> </w:t>
      </w:r>
      <w:r>
        <w:t xml:space="preserve">correctly extracted population sizes, only six were labelled with the right</w:t>
      </w:r>
      <w:r>
        <w:t xml:space="preserve"> </w:t>
      </w:r>
      <w:r>
        <w:t xml:space="preserve">stage (Section 6.4.3). Telling randomised from enrolled from analysed from</w:t>
      </w:r>
      <w:r>
        <w:t xml:space="preserve"> </w:t>
      </w:r>
      <w:r>
        <w:t xml:space="preserve">surface patterns in an abstract is hard, because abstracts use the words</w:t>
      </w:r>
      <w:r>
        <w:t xml:space="preserve"> </w:t>
      </w:r>
      <w:r>
        <w:t xml:space="preserve">loosely and often state one number for several stages.</w:t>
      </w:r>
    </w:p>
    <w:p>
      <w:pPr>
        <w:pStyle w:val="BodyText"/>
      </w:pPr>
      <w:r>
        <w:t xml:space="preserve">Most randomised trials report the same numbers a second time, in a form that</w:t>
      </w:r>
      <w:r>
        <w:t xml:space="preserve"> </w:t>
      </w:r>
      <w:r>
        <w:t xml:space="preserve">removes the ambiguity. The CONSORT statement asks every trial to publish a</w:t>
      </w:r>
      <w:r>
        <w:t xml:space="preserve"> </w:t>
      </w:r>
      <w:r>
        <w:t xml:space="preserve">participant-flow diagram showing how many people were assessed for</w:t>
      </w:r>
      <w:r>
        <w:t xml:space="preserve"> </w:t>
      </w:r>
      <w:r>
        <w:t xml:space="preserve">eligibility, randomised, allocated to each arm, followed up and analysed</w:t>
      </w:r>
      <w:r>
        <w:t xml:space="preserve"> </w:t>
      </w:r>
      <w:r>
        <w:t xml:space="preserve">[schulz2010consort]. In that diagram each count sits in a box, and the box's</w:t>
      </w:r>
      <w:r>
        <w:t xml:space="preserve"> </w:t>
      </w:r>
      <w:r>
        <w:t xml:space="preserve">position in the flow states which stage it counts. Reading the stage from the</w:t>
      </w:r>
      <w:r>
        <w:t xml:space="preserve"> </w:t>
      </w:r>
      <w:r>
        <w:t xml:space="preserve">layout, rather than guessing it from wording, is a computer-vision problem, and</w:t>
      </w:r>
      <w:r>
        <w:t xml:space="preserve"> </w:t>
      </w:r>
      <w:r>
        <w:t xml:space="preserve">this section describes a reader for it and measures it against the text method</w:t>
      </w:r>
      <w:r>
        <w:t xml:space="preserve"> </w:t>
      </w:r>
      <w:r>
        <w:t xml:space="preserve">on the same papers.</w:t>
      </w:r>
    </w:p>
    <w:p>
      <w:pPr>
        <w:pStyle w:val="BodyText"/>
      </w:pPr>
      <w:r>
        <w:t xml:space="preserve">Coverage was measured before any code was written. Of 60 open-access</w:t>
      </w:r>
      <w:r>
        <w:t xml:space="preserve"> </w:t>
      </w:r>
      <w:r>
        <w:t xml:space="preserve">randomised trials from Europe PMC (2015 to 2024), 37 (62%) had a figure whose</w:t>
      </w:r>
      <w:r>
        <w:t xml:space="preserve"> </w:t>
      </w:r>
      <w:r>
        <w:t xml:space="preserve">caption identifies it as a flow diagram; a second sample of 60 had 42 (70%).</w:t>
      </w:r>
      <w:r>
        <w:t xml:space="preserve"> </w:t>
      </w:r>
      <w:r>
        <w:t xml:space="preserve">Every one of these images is retrievable from NCBI's public PMC Article</w:t>
      </w:r>
      <w:r>
        <w:t xml:space="preserve"> </w:t>
      </w:r>
      <w:r>
        <w:t xml:space="preserve">Datasets bucket, the supported route for bulk reuse of open-access figures.</w:t>
      </w:r>
    </w:p>
    <w:bookmarkEnd w:id="194"/>
    <w:bookmarkStart w:id="198" w:name="method"/>
    <w:p>
      <w:pPr>
        <w:pStyle w:val="Heading3"/>
      </w:pPr>
      <w:r>
        <w:t xml:space="preserve">6.14.2 Method</w:t>
      </w:r>
    </w:p>
    <w:p>
      <w:pPr>
        <w:pStyle w:val="FirstParagraph"/>
      </w:pPr>
      <w:r>
        <w:t xml:space="preserve">The reader,</w:t>
      </w:r>
      <w:r>
        <w:t xml:space="preserve"> </w:t>
      </w:r>
      <w:r>
        <w:rPr>
          <w:rStyle w:val="VerbatimChar"/>
        </w:rPr>
        <w:t xml:space="preserve">src/citegraph/vision/flow_diagram.py</w:t>
      </w:r>
      <w:r>
        <w:t xml:space="preserve">, has six stages.</w:t>
      </w:r>
    </w:p>
    <w:p>
      <w:pPr>
        <w:pStyle w:val="Compact"/>
        <w:numPr>
          <w:ilvl w:val="0"/>
          <w:numId w:val="1012"/>
        </w:numPr>
      </w:pPr>
      <w:r>
        <w:rPr>
          <w:b/>
          <w:bCs/>
        </w:rPr>
        <w:t xml:space="preserve">Text recognition.</w:t>
      </w:r>
      <w:r>
        <w:t xml:space="preserve"> </w:t>
      </w:r>
      <w:r>
        <w:t xml:space="preserve">RapidOCR, an ONNX export of the PP-OCR pipeline</w:t>
      </w:r>
      <w:r>
        <w:t xml:space="preserve"> </w:t>
      </w:r>
      <w:r>
        <w:t xml:space="preserve">[du2020ppocr], returns each text line with its position. It is a fixed</w:t>
      </w:r>
      <w:r>
        <w:t xml:space="preserve"> </w:t>
      </w:r>
      <w:r>
        <w:t xml:space="preserve">classifier rather than a generative model, so it cannot produce a number</w:t>
      </w:r>
      <w:r>
        <w:t xml:space="preserve"> </w:t>
      </w:r>
      <w:r>
        <w:t xml:space="preserve">that is not in the image, which matters when the numbers are the output.</w:t>
      </w:r>
      <w:r>
        <w:t xml:space="preserve"> </w:t>
      </w:r>
      <w:r>
        <w:t xml:space="preserve">Lines it is unsure of that contain a digit are cropped, enlarged three times</w:t>
      </w:r>
      <w:r>
        <w:t xml:space="preserve"> </w:t>
      </w:r>
      <w:r>
        <w:t xml:space="preserve">and recognised again without re-running detection. PMC stores figures at</w:t>
      </w:r>
      <w:r>
        <w:t xml:space="preserve"> </w:t>
      </w:r>
      <w:r>
        <w:t xml:space="preserve">about 700 pixels wide, where a four-arm diagram's text is 10 to 12 pixels</w:t>
      </w:r>
      <w:r>
        <w:t xml:space="preserve"> </w:t>
      </w:r>
      <w:r>
        <w:t xml:space="preserve">tall; this step turned "Anaal s((a4)" back into "Analysed (n=4)" in 57 ms.</w:t>
      </w:r>
    </w:p>
    <w:p>
      <w:pPr>
        <w:pStyle w:val="Compact"/>
        <w:numPr>
          <w:ilvl w:val="0"/>
          <w:numId w:val="1012"/>
        </w:numPr>
      </w:pPr>
      <w:r>
        <w:rPr>
          <w:b/>
          <w:bCs/>
        </w:rPr>
        <w:t xml:space="preserve">Box detection.</w:t>
      </w:r>
      <w:r>
        <w:t xml:space="preserve"> </w:t>
      </w:r>
      <w:r>
        <w:t xml:space="preserve">Connector arrows touch the boxes they join, so the ink of</w:t>
      </w:r>
      <w:r>
        <w:t xml:space="preserve"> </w:t>
      </w:r>
      <w:r>
        <w:t xml:space="preserve">a whole flow chart is usually one connected shape, and each box's interior</w:t>
      </w:r>
      <w:r>
        <w:t xml:space="preserve"> </w:t>
      </w:r>
      <w:r>
        <w:t xml:space="preserve">is a hole in it. OpenCV finds those holes after adaptive thresholding, which</w:t>
      </w:r>
      <w:r>
        <w:t xml:space="preserve"> </w:t>
      </w:r>
      <w:r>
        <w:t xml:space="preserve">treats square, rounded and elliptical boxes alike and keeps boxes separate</w:t>
      </w:r>
      <w:r>
        <w:t xml:space="preserve"> </w:t>
      </w:r>
      <w:r>
        <w:t xml:space="preserve">even when an arrow runs into them.</w:t>
      </w:r>
    </w:p>
    <w:p>
      <w:pPr>
        <w:pStyle w:val="Compact"/>
        <w:numPr>
          <w:ilvl w:val="0"/>
          <w:numId w:val="1012"/>
        </w:numPr>
      </w:pPr>
      <w:r>
        <w:rPr>
          <w:b/>
          <w:bCs/>
        </w:rPr>
        <w:t xml:space="preserve">Regions.</w:t>
      </w:r>
      <w:r>
        <w:t xml:space="preserve"> </w:t>
      </w:r>
      <w:r>
        <w:t xml:space="preserve">Each text line joins the smallest box around its centre. Lines</w:t>
      </w:r>
      <w:r>
        <w:t xml:space="preserve"> </w:t>
      </w:r>
      <w:r>
        <w:t xml:space="preserve">outside every box are clustered by proximity, because some diagrams draw no</w:t>
      </w:r>
      <w:r>
        <w:t xml:space="preserve"> </w:t>
      </w:r>
      <w:r>
        <w:t xml:space="preserve">boxes at all.</w:t>
      </w:r>
    </w:p>
    <w:p>
      <w:pPr>
        <w:pStyle w:val="Compact"/>
        <w:numPr>
          <w:ilvl w:val="0"/>
          <w:numId w:val="1012"/>
        </w:numPr>
      </w:pPr>
      <w:r>
        <w:rPr>
          <w:b/>
          <w:bCs/>
        </w:rPr>
        <w:t xml:space="preserve">Counts.</w:t>
      </w:r>
      <w:r>
        <w:t xml:space="preserve"> </w:t>
      </w:r>
      <w:r>
        <w:t xml:space="preserve">Each count is paired with its label, in either of the two styles</w:t>
      </w:r>
      <w:r>
        <w:t xml:space="preserve"> </w:t>
      </w:r>
      <w:r>
        <w:t xml:space="preserve">diagrams use: "Analysed (n = 35)", where the label precedes the count, and</w:t>
      </w:r>
      <w:r>
        <w:t xml:space="preserve"> </w:t>
      </w:r>
      <w:r>
        <w:t xml:space="preserve">"96 Patients assessed for eligibility", where it follows.</w:t>
      </w:r>
    </w:p>
    <w:p>
      <w:pPr>
        <w:pStyle w:val="Compact"/>
        <w:numPr>
          <w:ilvl w:val="0"/>
          <w:numId w:val="1012"/>
        </w:numPr>
      </w:pPr>
      <w:r>
        <w:rPr>
          <w:b/>
          <w:bCs/>
        </w:rPr>
        <w:t xml:space="preserve">Stages.</w:t>
      </w:r>
      <w:r>
        <w:t xml:space="preserve"> </w:t>
      </w:r>
      <w:r>
        <w:t xml:space="preserve">Labels are classified with CONSORT vocabulary. Exclusion terms</w:t>
      </w:r>
      <w:r>
        <w:t xml:space="preserve"> </w:t>
      </w:r>
      <w:r>
        <w:t xml:space="preserve">take precedence, so "Excluded from analysis (n = 3)" is not an analysed</w:t>
      </w:r>
      <w:r>
        <w:t xml:space="preserve"> </w:t>
      </w:r>
      <w:r>
        <w:t xml:space="preserve">count, and every count inside a box that opens with an exclusion is treated</w:t>
      </w:r>
      <w:r>
        <w:t xml:space="preserve"> </w:t>
      </w:r>
      <w:r>
        <w:t xml:space="preserve">as one of its listed reasons.</w:t>
      </w:r>
    </w:p>
    <w:p>
      <w:pPr>
        <w:pStyle w:val="Compact"/>
        <w:numPr>
          <w:ilvl w:val="0"/>
          <w:numId w:val="1012"/>
        </w:numPr>
      </w:pPr>
      <w:r>
        <w:rPr>
          <w:b/>
          <w:bCs/>
        </w:rPr>
        <w:t xml:space="preserve">Layout.</w:t>
      </w:r>
      <w:r>
        <w:t xml:space="preserve"> </w:t>
      </w:r>
      <w:r>
        <w:t xml:space="preserve">A count whose own label names no stage takes one from the side</w:t>
      </w:r>
      <w:r>
        <w:t xml:space="preserve"> </w:t>
      </w:r>
      <w:r>
        <w:t xml:space="preserve">banner in its row or a heading directly above it. Arms in the same row are</w:t>
      </w:r>
      <w:r>
        <w:t xml:space="preserve"> </w:t>
      </w:r>
      <w:r>
        <w:t xml:space="preserve">summed unless one box already states their total, the analysis row must lie</w:t>
      </w:r>
      <w:r>
        <w:t xml:space="preserve"> </w:t>
      </w:r>
      <w:r>
        <w:t xml:space="preserve">below the allocated arms, and when no randomised count is printed the</w:t>
      </w:r>
      <w:r>
        <w:t xml:space="preserve"> </w:t>
      </w:r>
      <w:r>
        <w:t xml:space="preserve">allocation row supplies it.</w:t>
      </w:r>
    </w:p>
    <w:p>
      <w:pPr>
        <w:pStyle w:val="FirstParagraph"/>
      </w:pPr>
      <w:r>
        <w:t xml:space="preserve">Figure 6.1 shows the reasoning on one diagram whose analysis boxes contain</w:t>
      </w:r>
      <w:r>
        <w:t xml:space="preserve"> </w:t>
      </w:r>
      <w:r>
        <w:t xml:space="preserve">nothing but "N = 85".</w:t>
      </w:r>
    </w:p>
    <w:p>
      <w:pPr>
        <w:pStyle w:val="CaptionedFigure"/>
      </w:pPr>
      <w:r>
        <w:drawing>
          <wp:inline>
            <wp:extent cx="4160520" cy="4349348"/>
            <wp:effectExtent b="0" l="0" r="0" t="0"/>
            <wp:docPr descr="Figure 6.1 The reader on a development diagram from F1000Research (doi:10.12688/f1000research.147840.3, CC BY 4.0). Grey outlines are every box the detector found; coloured outlines are the boxes whose counts were used, tagged with the stage assigned. The arms say only &quot;Control&quot; and &quot;Video&quot; and the analysis boxes only &quot;N = 85&quot;: their stages come from the side banners, and the randomised total of 178 from summing the allocation row, because the &quot;Randomized&quot; heading carries no count." title="" id="196" name="Picture"/>
            <a:graphic>
              <a:graphicData uri="http://schemas.openxmlformats.org/drawingml/2006/picture">
                <pic:pic>
                  <pic:nvPicPr>
                    <pic:cNvPr descr="figures/flow_reader_example.png" id="197" name="Picture"/>
                    <pic:cNvPicPr>
                      <a:picLocks noChangeArrowheads="1" noChangeAspect="1"/>
                    </pic:cNvPicPr>
                  </pic:nvPicPr>
                  <pic:blipFill>
                    <a:blip r:embed="rId195"/>
                    <a:stretch>
                      <a:fillRect/>
                    </a:stretch>
                  </pic:blipFill>
                  <pic:spPr bwMode="auto">
                    <a:xfrm>
                      <a:off x="0" y="0"/>
                      <a:ext cx="4160520" cy="4349348"/>
                    </a:xfrm>
                    <a:prstGeom prst="rect">
                      <a:avLst/>
                    </a:prstGeom>
                    <a:noFill/>
                    <a:ln w="9525">
                      <a:noFill/>
                      <a:headEnd/>
                      <a:tailEnd/>
                    </a:ln>
                  </pic:spPr>
                </pic:pic>
              </a:graphicData>
            </a:graphic>
          </wp:inline>
        </w:drawing>
      </w:r>
    </w:p>
    <w:p>
      <w:pPr>
        <w:pStyle w:val="ImageCaption"/>
      </w:pPr>
      <w:r>
        <w:rPr>
          <w:b/>
          <w:bCs/>
        </w:rPr>
        <w:t xml:space="preserve">Figure 6.1</w:t>
      </w:r>
      <w:r>
        <w:t xml:space="preserve"> </w:t>
      </w:r>
      <w:r>
        <w:t xml:space="preserve">The reader on a development diagram from F1000Research</w:t>
      </w:r>
      <w:r>
        <w:t xml:space="preserve"> </w:t>
      </w:r>
      <w:r>
        <w:t xml:space="preserve">(doi:10.12688/f1000research.147840.3, CC BY 4.0). Grey outlines are every box</w:t>
      </w:r>
      <w:r>
        <w:t xml:space="preserve"> </w:t>
      </w:r>
      <w:r>
        <w:t xml:space="preserve">the detector found; coloured outlines are the boxes whose counts were used,</w:t>
      </w:r>
      <w:r>
        <w:t xml:space="preserve"> </w:t>
      </w:r>
      <w:r>
        <w:t xml:space="preserve">tagged with the stage assigned. The arms say only "Control" and "Video" and</w:t>
      </w:r>
      <w:r>
        <w:t xml:space="preserve"> </w:t>
      </w:r>
      <w:r>
        <w:t xml:space="preserve">the analysis boxes only "N = 85": their stages come from the side banners, and</w:t>
      </w:r>
      <w:r>
        <w:t xml:space="preserve"> </w:t>
      </w:r>
      <w:r>
        <w:t xml:space="preserve">the randomised total of 178 from summing the allocation row, because the</w:t>
      </w:r>
      <w:r>
        <w:t xml:space="preserve"> </w:t>
      </w:r>
      <w:r>
        <w:t xml:space="preserve">"Randomized" heading carries no count.</w:t>
      </w:r>
    </w:p>
    <w:bookmarkEnd w:id="198"/>
    <w:bookmarkStart w:id="199" w:name="evaluation-protocol"/>
    <w:p>
      <w:pPr>
        <w:pStyle w:val="Heading3"/>
      </w:pPr>
      <w:r>
        <w:t xml:space="preserve">6.14.3 Evaluation protocol</w:t>
      </w:r>
    </w:p>
    <w:p>
      <w:pPr>
        <w:pStyle w:val="FirstParagraph"/>
      </w:pPr>
      <w:r>
        <w:t xml:space="preserve">The reader was evaluated in three sets, and the order in which things were</w:t>
      </w:r>
      <w:r>
        <w:t xml:space="preserve"> </w:t>
      </w:r>
      <w:r>
        <w:t xml:space="preserve">done is part of the result, so it is recorded in the commit history.</w:t>
      </w:r>
    </w:p>
    <w:tbl>
      <w:tblPr>
        <w:tblStyle w:val="Table"/>
        <w:tblW w:type="pct" w:w="5000"/>
        <w:tblLayout w:type="fixed"/>
        <w:tblLook w:firstRow="1" w:lastRow="0" w:firstColumn="0" w:lastColumn="0" w:noHBand="0" w:noVBand="0" w:val="0020"/>
      </w:tblPr>
      <w:tblGrid>
        <w:gridCol w:w="1820"/>
        <w:gridCol w:w="910"/>
        <w:gridCol w:w="3004"/>
        <w:gridCol w:w="2184"/>
      </w:tblGrid>
      <w:tr>
        <w:trPr>
          <w:tblHeader w:val="on"/>
        </w:trPr>
        <w:tc>
          <w:tcPr/>
          <w:p>
            <w:pPr>
              <w:pStyle w:val="Compact"/>
            </w:pPr>
            <w:r>
              <w:t xml:space="preserve">Set</w:t>
            </w:r>
          </w:p>
        </w:tc>
        <w:tc>
          <w:tcPr/>
          <w:p>
            <w:pPr>
              <w:pStyle w:val="Compact"/>
              <w:jc w:val="right"/>
            </w:pPr>
            <w:r>
              <w:t xml:space="preserve">Diagrams</w:t>
            </w:r>
          </w:p>
        </w:tc>
        <w:tc>
          <w:tcPr/>
          <w:p>
            <w:pPr>
              <w:pStyle w:val="Compact"/>
            </w:pPr>
            <w:r>
              <w:t xml:space="preserve">Role</w:t>
            </w:r>
          </w:p>
        </w:tc>
        <w:tc>
          <w:tcPr/>
          <w:p>
            <w:pPr>
              <w:pStyle w:val="Compact"/>
            </w:pPr>
            <w:r>
              <w:t xml:space="preserve">Seen by the designer before scoring?</w:t>
            </w:r>
          </w:p>
        </w:tc>
      </w:tr>
      <w:tr>
        <w:tc>
          <w:tcPr/>
          <w:p>
            <w:pPr>
              <w:pStyle w:val="Compact"/>
            </w:pPr>
            <w:r>
              <w:t xml:space="preserve">Development</w:t>
            </w:r>
          </w:p>
        </w:tc>
        <w:tc>
          <w:tcPr/>
          <w:p>
            <w:pPr>
              <w:pStyle w:val="Compact"/>
              <w:jc w:val="right"/>
            </w:pPr>
            <w:r>
              <w:t xml:space="preserve">10</w:t>
            </w:r>
          </w:p>
        </w:tc>
        <w:tc>
          <w:tcPr/>
          <w:p>
            <w:pPr>
              <w:pStyle w:val="Compact"/>
            </w:pPr>
            <w:r>
              <w:t xml:space="preserve">rules written against these</w:t>
            </w:r>
          </w:p>
        </w:tc>
        <w:tc>
          <w:tcPr/>
          <w:p>
            <w:pPr>
              <w:pStyle w:val="Compact"/>
            </w:pPr>
            <w:r>
              <w:t xml:space="preserve">yes</w:t>
            </w:r>
          </w:p>
        </w:tc>
      </w:tr>
      <w:tr>
        <w:tc>
          <w:tcPr/>
          <w:p>
            <w:pPr>
              <w:pStyle w:val="Compact"/>
            </w:pPr>
            <w:r>
              <w:t xml:space="preserve">Second development</w:t>
            </w:r>
          </w:p>
        </w:tc>
        <w:tc>
          <w:tcPr/>
          <w:p>
            <w:pPr>
              <w:pStyle w:val="Compact"/>
              <w:jc w:val="right"/>
            </w:pPr>
            <w:r>
              <w:t xml:space="preserve">27</w:t>
            </w:r>
          </w:p>
        </w:tc>
        <w:tc>
          <w:tcPr/>
          <w:p>
            <w:pPr>
              <w:pStyle w:val="Compact"/>
            </w:pPr>
            <w:r>
              <w:t xml:space="preserve">first held-out, then demoted</w:t>
            </w:r>
          </w:p>
        </w:tc>
        <w:tc>
          <w:tcPr/>
          <w:p>
            <w:pPr>
              <w:pStyle w:val="Compact"/>
            </w:pPr>
            <w:r>
              <w:t xml:space="preserve">yes, during annotation</w:t>
            </w:r>
          </w:p>
        </w:tc>
      </w:tr>
      <w:tr>
        <w:tc>
          <w:tcPr/>
          <w:p>
            <w:pPr>
              <w:pStyle w:val="Compact"/>
            </w:pPr>
            <w:r>
              <w:t xml:space="preserve">Held-out</w:t>
            </w:r>
          </w:p>
        </w:tc>
        <w:tc>
          <w:tcPr/>
          <w:p>
            <w:pPr>
              <w:pStyle w:val="Compact"/>
              <w:jc w:val="right"/>
            </w:pPr>
            <w:r>
              <w:t xml:space="preserve">42</w:t>
            </w:r>
          </w:p>
        </w:tc>
        <w:tc>
          <w:tcPr/>
          <w:p>
            <w:pPr>
              <w:pStyle w:val="Compact"/>
            </w:pPr>
            <w:r>
              <w:t xml:space="preserve">the only basis for the decision</w:t>
            </w:r>
          </w:p>
        </w:tc>
        <w:tc>
          <w:tcPr/>
          <w:p>
            <w:pPr>
              <w:pStyle w:val="Compact"/>
            </w:pPr>
            <w:r>
              <w:t xml:space="preserve">no</w:t>
            </w:r>
          </w:p>
        </w:tc>
      </w:tr>
    </w:tbl>
    <w:p>
      <w:pPr>
        <w:pStyle w:val="BodyText"/>
      </w:pPr>
      <w:r>
        <w:t xml:space="preserve">The answer key records, for each diagram, the screened, enrolled, randomised</w:t>
      </w:r>
      <w:r>
        <w:t xml:space="preserve"> </w:t>
      </w:r>
      <w:r>
        <w:t xml:space="preserve">and analysed counts it states, with stages it leaves genuinely ambiguous marked</w:t>
      </w:r>
      <w:r>
        <w:t xml:space="preserve"> </w:t>
      </w:r>
      <w:r>
        <w:t xml:space="preserve">unscored rather than guessed. It was written by reading each image before any</w:t>
      </w:r>
      <w:r>
        <w:t xml:space="preserve"> </w:t>
      </w:r>
      <w:r>
        <w:t xml:space="preserve">reader code existed and committed at that point (commit</w:t>
      </w:r>
      <w:r>
        <w:t xml:space="preserve"> </w:t>
      </w:r>
      <w:r>
        <w:rPr>
          <w:rStyle w:val="VerbatimChar"/>
        </w:rPr>
        <w:t xml:space="preserve">0aa6294</w:t>
      </w:r>
      <w:r>
        <w:t xml:space="preserve">). Section</w:t>
      </w:r>
      <w:r>
        <w:t xml:space="preserve"> </w:t>
      </w:r>
      <w:r>
        <w:t xml:space="preserve">6.14.7 reports a blind second reading of it.</w:t>
      </w:r>
    </w:p>
    <w:p>
      <w:pPr>
        <w:pStyle w:val="BodyText"/>
      </w:pPr>
      <w:r>
        <w:t xml:space="preserve">The 27 diagrams first intended as a test set were annotated by the same person</w:t>
      </w:r>
      <w:r>
        <w:t xml:space="preserve"> </w:t>
      </w:r>
      <w:r>
        <w:t xml:space="preserve">who then built the reader, so their result cannot count as held out. They were</w:t>
      </w:r>
      <w:r>
        <w:t xml:space="preserve"> </w:t>
      </w:r>
      <w:r>
        <w:t xml:space="preserve">used as a second development set instead, and four general fixes came from</w:t>
      </w:r>
      <w:r>
        <w:t xml:space="preserve"> </w:t>
      </w:r>
      <w:r>
        <w:t xml:space="preserve">their errors. Three further misses were deliberately left unfixed, because</w:t>
      </w:r>
      <w:r>
        <w:t xml:space="preserve"> </w:t>
      </w:r>
      <w:r>
        <w:t xml:space="preserve">fixing them would have meant special-casing single diagrams, one of them a</w:t>
      </w:r>
      <w:r>
        <w:t xml:space="preserve"> </w:t>
      </w:r>
      <w:r>
        <w:t xml:space="preserve">figure that misspells "analysis" as "amalysis".</w:t>
      </w:r>
    </w:p>
    <w:p>
      <w:pPr>
        <w:pStyle w:val="BodyText"/>
      </w:pPr>
      <w:r>
        <w:t xml:space="preserve">The reader was then frozen (commit</w:t>
      </w:r>
      <w:r>
        <w:t xml:space="preserve"> </w:t>
      </w:r>
      <w:r>
        <w:rPr>
          <w:rStyle w:val="VerbatimChar"/>
        </w:rPr>
        <w:t xml:space="preserve">b12ce13</w:t>
      </w:r>
      <w:r>
        <w:t xml:space="preserve">). Only afterwards were 42 new</w:t>
      </w:r>
      <w:r>
        <w:t xml:space="preserve"> </w:t>
      </w:r>
      <w:r>
        <w:t xml:space="preserve">diagrams collected from the next page of the same search, sharing no paper</w:t>
      </w:r>
      <w:r>
        <w:t xml:space="preserve"> </w:t>
      </w:r>
      <w:r>
        <w:t xml:space="preserve">with the first set, and their answer key was written and committed</w:t>
      </w:r>
      <w:r>
        <w:t xml:space="preserve"> </w:t>
      </w:r>
      <w:r>
        <w:t xml:space="preserve">(</w:t>
      </w:r>
      <w:r>
        <w:rPr>
          <w:rStyle w:val="VerbatimChar"/>
        </w:rPr>
        <w:t xml:space="preserve">eb0e25a</w:t>
      </w:r>
      <w:r>
        <w:t xml:space="preserve">) before the reader was run on any of them. The decision rule was</w:t>
      </w:r>
      <w:r>
        <w:t xml:space="preserve"> </w:t>
      </w:r>
      <w:r>
        <w:t xml:space="preserve">stated in</w:t>
      </w:r>
      <w:r>
        <w:t xml:space="preserve"> </w:t>
      </w:r>
      <w:r>
        <w:rPr>
          <w:rStyle w:val="VerbatimChar"/>
        </w:rPr>
        <w:t xml:space="preserve">scripts/evaluate_flow_diagrams.py</w:t>
      </w:r>
      <w:r>
        <w:t xml:space="preserve"> </w:t>
      </w:r>
      <w:r>
        <w:t xml:space="preserve">before that run: the reader ships</w:t>
      </w:r>
      <w:r>
        <w:t xml:space="preserve"> </w:t>
      </w:r>
      <w:r>
        <w:t xml:space="preserve">only if, on held-out diagrams, it is right on at least 15 percentage points</w:t>
      </w:r>
      <w:r>
        <w:t xml:space="preserve"> </w:t>
      </w:r>
      <w:r>
        <w:t xml:space="preserve">more of the stated enrolled, randomised and analysed counts than the text</w:t>
      </w:r>
      <w:r>
        <w:t xml:space="preserve"> </w:t>
      </w:r>
      <w:r>
        <w:t xml:space="preserve">method, the difference holds under an exact McNemar test at p &lt; 0.05, and it</w:t>
      </w:r>
      <w:r>
        <w:t xml:space="preserve"> </w:t>
      </w:r>
      <w:r>
        <w:t xml:space="preserve">reports nothing for most figures that are not participant flows.</w:t>
      </w:r>
    </w:p>
    <w:p>
      <w:pPr>
        <w:pStyle w:val="BodyText"/>
      </w:pPr>
      <w:r>
        <w:t xml:space="preserve">The text method is the one the pipeline already uses: the pattern extractor of</w:t>
      </w:r>
      <w:r>
        <w:t xml:space="preserve"> </w:t>
      </w:r>
      <w:r>
        <w:t xml:space="preserve">Section 4.10 over the same paper's abstract, taking the first candidate of each</w:t>
      </w:r>
      <w:r>
        <w:t xml:space="preserve"> </w:t>
      </w:r>
      <w:r>
        <w:t xml:space="preserve">semantic type. Only stages a diagram states are scored, because an abstract</w:t>
      </w:r>
      <w:r>
        <w:t xml:space="preserve"> </w:t>
      </w:r>
      <w:r>
        <w:t xml:space="preserve">saying "91 patients were enrolled" is not wrong merely because the diagram</w:t>
      </w:r>
      <w:r>
        <w:t xml:space="preserve"> </w:t>
      </w:r>
      <w:r>
        <w:t xml:space="preserve">folds enrolment into randomisation. A lenient score is also reported, crediting</w:t>
      </w:r>
      <w:r>
        <w:t xml:space="preserve"> </w:t>
      </w:r>
      <w:r>
        <w:t xml:space="preserve">the text method whenever the right number appears among its candidates under</w:t>
      </w:r>
      <w:r>
        <w:t xml:space="preserve"> </w:t>
      </w:r>
      <w:r>
        <w:t xml:space="preserve">any label, which separates "not in the abstract" from "found but mislabelled".</w:t>
      </w:r>
    </w:p>
    <w:bookmarkEnd w:id="199"/>
    <w:bookmarkStart w:id="200" w:name="results"/>
    <w:p>
      <w:pPr>
        <w:pStyle w:val="Heading3"/>
      </w:pPr>
      <w:r>
        <w:t xml:space="preserve">6.14.4 Results</w:t>
      </w:r>
    </w:p>
    <w:p>
      <w:pPr>
        <w:pStyle w:val="FirstParagraph"/>
      </w:pPr>
      <w:r>
        <w:t xml:space="preserve">On the held-out set, counting the enrolled, randomised and analysed stages the</w:t>
      </w:r>
      <w:r>
        <w:t xml:space="preserve"> </w:t>
      </w:r>
      <w:r>
        <w:t xml:space="preserve">diagrams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Correct</w:t>
            </w:r>
          </w:p>
        </w:tc>
        <w:tc>
          <w:tcPr/>
          <w:p>
            <w:pPr>
              <w:pStyle w:val="Compact"/>
            </w:pPr>
            <w:r>
              <w:t xml:space="preserve">95% Wilson interval</w:t>
            </w:r>
          </w:p>
        </w:tc>
      </w:tr>
      <w:tr>
        <w:tc>
          <w:tcPr/>
          <w:p>
            <w:pPr>
              <w:pStyle w:val="Compact"/>
            </w:pPr>
            <w:r>
              <w:t xml:space="preserve">Diagram reader</w:t>
            </w:r>
          </w:p>
        </w:tc>
        <w:tc>
          <w:tcPr/>
          <w:p>
            <w:pPr>
              <w:pStyle w:val="Compact"/>
              <w:jc w:val="right"/>
            </w:pPr>
            <w:r>
              <w:t xml:space="preserve">61 / 69 (88%)</w:t>
            </w:r>
          </w:p>
        </w:tc>
        <w:tc>
          <w:tcPr/>
          <w:p>
            <w:pPr>
              <w:pStyle w:val="Compact"/>
            </w:pPr>
            <w:r>
              <w:t xml:space="preserve">[0.79, 0.94]</w:t>
            </w:r>
          </w:p>
        </w:tc>
      </w:tr>
      <w:tr>
        <w:tc>
          <w:tcPr/>
          <w:p>
            <w:pPr>
              <w:pStyle w:val="Compact"/>
            </w:pPr>
            <w:r>
              <w:t xml:space="preserve">Text method, stage-typed</w:t>
            </w:r>
          </w:p>
        </w:tc>
        <w:tc>
          <w:tcPr/>
          <w:p>
            <w:pPr>
              <w:pStyle w:val="Compact"/>
              <w:jc w:val="right"/>
            </w:pPr>
            <w:r>
              <w:t xml:space="preserve">2 / 69 (3%)</w:t>
            </w:r>
          </w:p>
        </w:tc>
        <w:tc>
          <w:tcPr/>
          <w:p>
            <w:pPr>
              <w:pStyle w:val="Compact"/>
            </w:pPr>
            <w:r>
              <w:t xml:space="preserve">[0.01, 0.10]</w:t>
            </w:r>
          </w:p>
        </w:tc>
      </w:tr>
      <w:tr>
        <w:tc>
          <w:tcPr/>
          <w:p>
            <w:pPr>
              <w:pStyle w:val="Compact"/>
            </w:pPr>
            <w:r>
              <w:t xml:space="preserve">Text method, right number under any label</w:t>
            </w:r>
          </w:p>
        </w:tc>
        <w:tc>
          <w:tcPr/>
          <w:p>
            <w:pPr>
              <w:pStyle w:val="Compact"/>
              <w:jc w:val="right"/>
            </w:pPr>
            <w:r>
              <w:t xml:space="preserve">26 / 69 (38%)</w:t>
            </w:r>
          </w:p>
        </w:tc>
        <w:tc>
          <w:tcPr/>
          <w:p>
            <w:pPr>
              <w:pStyle w:val="Compact"/>
            </w:pPr>
          </w:p>
        </w:tc>
      </w:tr>
    </w:tbl>
    <w:p>
      <w:pPr>
        <w:pStyle w:val="BodyText"/>
      </w:pPr>
      <w:r>
        <w:t xml:space="preserve">Of the 61 disagreements between the two methods, the reader was right in 60</w:t>
      </w:r>
      <w:r>
        <w:t xml:space="preserve"> </w:t>
      </w:r>
      <w:r>
        <w:t xml:space="preserve">and the text method in one (exact McNemar p &lt; 0.0001). The reader reported</w:t>
      </w:r>
      <w:r>
        <w:t xml:space="preserve"> </w:t>
      </w:r>
      <w:r>
        <w:t xml:space="preserve">nothing for both held-out figures that were not participant flows, and for all</w:t>
      </w:r>
      <w:r>
        <w:t xml:space="preserve"> </w:t>
      </w:r>
      <w:r>
        <w:t xml:space="preserve">four such figures across the development sets. The rule is met.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 (held-out)</w:t>
            </w:r>
          </w:p>
        </w:tc>
        <w:tc>
          <w:tcPr/>
          <w:p>
            <w:pPr>
              <w:pStyle w:val="Compact"/>
              <w:jc w:val="right"/>
            </w:pPr>
            <w:r>
              <w:t xml:space="preserve">Reader</w:t>
            </w:r>
          </w:p>
        </w:tc>
        <w:tc>
          <w:tcPr/>
          <w:p>
            <w:pPr>
              <w:pStyle w:val="Compact"/>
              <w:jc w:val="right"/>
            </w:pPr>
            <w:r>
              <w:t xml:space="preserve">Text method</w:t>
            </w:r>
          </w:p>
        </w:tc>
      </w:tr>
      <w:tr>
        <w:tc>
          <w:tcPr/>
          <w:p>
            <w:pPr>
              <w:pStyle w:val="Compact"/>
            </w:pPr>
            <w:r>
              <w:t xml:space="preserve">Screened</w:t>
            </w:r>
          </w:p>
        </w:tc>
        <w:tc>
          <w:tcPr/>
          <w:p>
            <w:pPr>
              <w:pStyle w:val="Compact"/>
              <w:jc w:val="right"/>
            </w:pPr>
            <w:r>
              <w:t xml:space="preserve">25 / 31 (81%)</w:t>
            </w:r>
          </w:p>
        </w:tc>
        <w:tc>
          <w:tcPr/>
          <w:p>
            <w:pPr>
              <w:pStyle w:val="Compact"/>
              <w:jc w:val="right"/>
            </w:pPr>
            <w:r>
              <w:t xml:space="preserve">2 / 31 (6%)</w:t>
            </w:r>
          </w:p>
        </w:tc>
      </w:tr>
      <w:tr>
        <w:tc>
          <w:tcPr/>
          <w:p>
            <w:pPr>
              <w:pStyle w:val="Compact"/>
            </w:pPr>
            <w:r>
              <w:t xml:space="preserve">Enrolled</w:t>
            </w:r>
          </w:p>
        </w:tc>
        <w:tc>
          <w:tcPr/>
          <w:p>
            <w:pPr>
              <w:pStyle w:val="Compact"/>
              <w:jc w:val="right"/>
            </w:pPr>
            <w:r>
              <w:t xml:space="preserve">5 / 6 (83%)</w:t>
            </w:r>
          </w:p>
        </w:tc>
        <w:tc>
          <w:tcPr/>
          <w:p>
            <w:pPr>
              <w:pStyle w:val="Compact"/>
              <w:jc w:val="right"/>
            </w:pPr>
            <w:r>
              <w:t xml:space="preserve">1 / 6 (17%)</w:t>
            </w:r>
          </w:p>
        </w:tc>
      </w:tr>
      <w:tr>
        <w:tc>
          <w:tcPr/>
          <w:p>
            <w:pPr>
              <w:pStyle w:val="Compact"/>
            </w:pPr>
            <w:r>
              <w:t xml:space="preserve">Randomised</w:t>
            </w:r>
          </w:p>
        </w:tc>
        <w:tc>
          <w:tcPr/>
          <w:p>
            <w:pPr>
              <w:pStyle w:val="Compact"/>
              <w:jc w:val="right"/>
            </w:pPr>
            <w:r>
              <w:t xml:space="preserve">35 / 37 (95%)</w:t>
            </w:r>
          </w:p>
        </w:tc>
        <w:tc>
          <w:tcPr/>
          <w:p>
            <w:pPr>
              <w:pStyle w:val="Compact"/>
              <w:jc w:val="right"/>
            </w:pPr>
            <w:r>
              <w:t xml:space="preserve">0 / 37 (0%)</w:t>
            </w:r>
          </w:p>
        </w:tc>
      </w:tr>
      <w:tr>
        <w:tc>
          <w:tcPr/>
          <w:p>
            <w:pPr>
              <w:pStyle w:val="Compact"/>
            </w:pPr>
            <w:r>
              <w:t xml:space="preserve">Analysed</w:t>
            </w:r>
          </w:p>
        </w:tc>
        <w:tc>
          <w:tcPr/>
          <w:p>
            <w:pPr>
              <w:pStyle w:val="Compact"/>
              <w:jc w:val="right"/>
            </w:pPr>
            <w:r>
              <w:t xml:space="preserve">21 / 26 (81%)</w:t>
            </w:r>
          </w:p>
        </w:tc>
        <w:tc>
          <w:tcPr/>
          <w:p>
            <w:pPr>
              <w:pStyle w:val="Compact"/>
              <w:jc w:val="right"/>
            </w:pPr>
            <w:r>
              <w:t xml:space="preserve">1 / 26 (4%)</w:t>
            </w:r>
          </w:p>
        </w:tc>
      </w:tr>
    </w:tbl>
    <w:p>
      <w:pPr>
        <w:pStyle w:val="BodyText"/>
      </w:pPr>
      <w:r>
        <w:t xml:space="preserve">The development sets agree: 18 of 18 on the first, and 50 of 53 on the second</w:t>
      </w:r>
      <w:r>
        <w:t xml:space="preserve"> </w:t>
      </w:r>
      <w:r>
        <w:t xml:space="preserve">after its fixes (45 of 53 before them). The held-out figure is the lower of the</w:t>
      </w:r>
      <w:r>
        <w:t xml:space="preserve"> </w:t>
      </w:r>
      <w:r>
        <w:t xml:space="preserve">three, which is the expected direction and the reason it is the one reported</w:t>
      </w:r>
      <w:r>
        <w:t xml:space="preserve"> </w:t>
      </w:r>
      <w:r>
        <w:t xml:space="preserve">as the result.</w:t>
      </w:r>
    </w:p>
    <w:p>
      <w:pPr>
        <w:pStyle w:val="BodyText"/>
      </w:pPr>
      <w:r>
        <w:t xml:space="preserve">The lenient line is the more useful comparison for understanding the text</w:t>
      </w:r>
      <w:r>
        <w:t xml:space="preserve"> </w:t>
      </w:r>
      <w:r>
        <w:t xml:space="preserve">method. The right number is present in the abstract for 38% of stated counts,</w:t>
      </w:r>
      <w:r>
        <w:t xml:space="preserve"> </w:t>
      </w:r>
      <w:r>
        <w:t xml:space="preserve">yet correctly typed for 3%, so most of the gap is the typing problem of Section</w:t>
      </w:r>
      <w:r>
        <w:t xml:space="preserve"> </w:t>
      </w:r>
      <w:r>
        <w:t xml:space="preserve">6.4.3 rather than missing information. The rest is that abstracts often state</w:t>
      </w:r>
      <w:r>
        <w:t xml:space="preserve"> </w:t>
      </w:r>
      <w:r>
        <w:t xml:space="preserve">only one or two of the four counts a diagram gives.</w:t>
      </w:r>
    </w:p>
    <w:bookmarkEnd w:id="200"/>
    <w:bookmarkStart w:id="201" w:name="how-it-fails"/>
    <w:p>
      <w:pPr>
        <w:pStyle w:val="Heading3"/>
      </w:pPr>
      <w:r>
        <w:t xml:space="preserve">6.14.5 How it fails</w:t>
      </w:r>
    </w:p>
    <w:p>
      <w:pPr>
        <w:pStyle w:val="FirstParagraph"/>
      </w:pPr>
      <w:r>
        <w:t xml:space="preserve">Seven of the eight held-out misses on the scored stages are abstentions: the</w:t>
      </w:r>
      <w:r>
        <w:t xml:space="preserve"> </w:t>
      </w:r>
      <w:r>
        <w:t xml:space="preserve">reader reported nothing rather than a wrong number. In a tool meant to surface</w:t>
      </w:r>
      <w:r>
        <w:t xml:space="preserve"> </w:t>
      </w:r>
      <w:r>
        <w:t xml:space="preserve">uncertainty, that is the preferable way to fail. The one wrong value summed two</w:t>
      </w:r>
      <w:r>
        <w:t xml:space="preserve"> </w:t>
      </w:r>
      <w:r>
        <w:t xml:space="preserve">of three arms of an analysis row. Most misses trace to layouts the development</w:t>
      </w:r>
      <w:r>
        <w:t xml:space="preserve"> </w:t>
      </w:r>
      <w:r>
        <w:t xml:space="preserve">sets did not contain:</w:t>
      </w:r>
    </w:p>
    <w:p>
      <w:pPr>
        <w:pStyle w:val="Compact"/>
        <w:numPr>
          <w:ilvl w:val="0"/>
          <w:numId w:val="1013"/>
        </w:numPr>
      </w:pPr>
      <w:r>
        <w:t xml:space="preserve">a label above a bare number, with no "n =" ("Number randomised" over "43");</w:t>
      </w:r>
    </w:p>
    <w:p>
      <w:pPr>
        <w:pStyle w:val="Compact"/>
        <w:numPr>
          <w:ilvl w:val="0"/>
          <w:numId w:val="1013"/>
        </w:numPr>
      </w:pPr>
      <w:r>
        <w:t xml:space="preserve">"Number of patient analyzed = 12", an equals sign without "n";</w:t>
      </w:r>
    </w:p>
    <w:p>
      <w:pPr>
        <w:pStyle w:val="Compact"/>
        <w:numPr>
          <w:ilvl w:val="0"/>
          <w:numId w:val="1013"/>
        </w:numPr>
      </w:pPr>
      <w:r>
        <w:t xml:space="preserve">the count written before its label inside a box, "N=64 included in the</w:t>
      </w:r>
      <w:r>
        <w:t xml:space="preserve"> </w:t>
      </w:r>
      <w:r>
        <w:t xml:space="preserve">analysis";</w:t>
      </w:r>
    </w:p>
    <w:p>
      <w:pPr>
        <w:pStyle w:val="Compact"/>
        <w:numPr>
          <w:ilvl w:val="0"/>
          <w:numId w:val="1013"/>
        </w:numPr>
      </w:pPr>
      <w:r>
        <w:t xml:space="preserve">stage words outside the CONSORT vocabulary, such as "Inclusion (N = 76)" and</w:t>
      </w:r>
      <w:r>
        <w:t xml:space="preserve"> </w:t>
      </w:r>
      <w:r>
        <w:t xml:space="preserve">a randomisation box labelled only "Random:".</w:t>
      </w:r>
    </w:p>
    <w:p>
      <w:pPr>
        <w:pStyle w:val="FirstParagraph"/>
      </w:pPr>
      <w:r>
        <w:t xml:space="preserve">Each is a straightforward rule to add, but adding them now would repeat the</w:t>
      </w:r>
      <w:r>
        <w:t xml:space="preserve"> </w:t>
      </w:r>
      <w:r>
        <w:t xml:space="preserve">problem this protocol was designed to avoid: they were found by looking at the</w:t>
      </w:r>
      <w:r>
        <w:t xml:space="preserve"> </w:t>
      </w:r>
      <w:r>
        <w:t xml:space="preserve">held-out set, so their effect would have to be measured on another one.</w:t>
      </w:r>
    </w:p>
    <w:bookmarkEnd w:id="201"/>
    <w:bookmarkStart w:id="202" w:name="cost-scope-and-limits"/>
    <w:p>
      <w:pPr>
        <w:pStyle w:val="Heading3"/>
      </w:pPr>
      <w:r>
        <w:t xml:space="preserve">6.14.6 Cost, scope and limits</w:t>
      </w:r>
    </w:p>
    <w:p>
      <w:pPr>
        <w:pStyle w:val="FirstParagraph"/>
      </w:pPr>
      <w:r>
        <w:t xml:space="preserve">Box detection takes about 10 ms; text recognition is the cost, a median of</w:t>
      </w:r>
      <w:r>
        <w:t xml:space="preserve"> </w:t>
      </w:r>
      <w:r>
        <w:t xml:space="preserve">4.9 s and at most 11 s per diagram on the development machine, with no GPU. That</w:t>
      </w:r>
      <w:r>
        <w:t xml:space="preserve"> </w:t>
      </w:r>
      <w:r>
        <w:t xml:space="preserve">is too slow to run for every trial in a 100-paper graph, so the reader is not</w:t>
      </w:r>
      <w:r>
        <w:t xml:space="preserve"> </w:t>
      </w:r>
      <w:r>
        <w:t xml:space="preserve">part of a run. The dashboard offers it on a trial's detail panel, the server</w:t>
      </w:r>
      <w:r>
        <w:t xml:space="preserve"> </w:t>
      </w:r>
      <w:r>
        <w:t xml:space="preserve">reads one diagram at a time in a worker thread so the API stays responsive, and</w:t>
      </w:r>
      <w:r>
        <w:t xml:space="preserve"> </w:t>
      </w:r>
      <w:r>
        <w:t xml:space="preserve">the result is stored with the run so a diagram is never read twice. Its counts</w:t>
      </w:r>
      <w:r>
        <w:t xml:space="preserve"> </w:t>
      </w:r>
      <w:r>
        <w:t xml:space="preserve">are shown beside the abstract extraction, not substituted for it, so a run's</w:t>
      </w:r>
      <w:r>
        <w:t xml:space="preserve"> </w:t>
      </w:r>
      <w:r>
        <w:t xml:space="preserve">edge weights and rankings remain the ones it was computed with. Feeding</w:t>
      </w:r>
      <w:r>
        <w:t xml:space="preserve"> </w:t>
      </w:r>
      <w:r>
        <w:t xml:space="preserve">diagram counts into the weighting is the natural next step, once the choice</w:t>
      </w:r>
      <w:r>
        <w:t xml:space="preserve"> </w:t>
      </w:r>
      <w:r>
        <w:t xml:space="preserve">between a diagram and an abstract that disagree has a principled rule.</w:t>
      </w:r>
    </w:p>
    <w:p>
      <w:pPr>
        <w:pStyle w:val="BodyText"/>
      </w:pPr>
      <w:r>
        <w:t xml:space="preserve">The limits are specific:</w:t>
      </w:r>
    </w:p>
    <w:p>
      <w:pPr>
        <w:pStyle w:val="Compact"/>
        <w:numPr>
          <w:ilvl w:val="0"/>
          <w:numId w:val="1014"/>
        </w:numPr>
      </w:pPr>
      <w:r>
        <w:rPr>
          <w:b/>
          <w:bCs/>
        </w:rPr>
        <w:t xml:space="preserve">Open access only.</w:t>
      </w:r>
      <w:r>
        <w:t xml:space="preserve"> </w:t>
      </w:r>
      <w:r>
        <w:t xml:space="preserve">The reader depends on open-access figures; about two</w:t>
      </w:r>
      <w:r>
        <w:t xml:space="preserve"> </w:t>
      </w:r>
      <w:r>
        <w:t xml:space="preserve">thirds of the sampled open-access trials had a detectable diagram, and</w:t>
      </w:r>
      <w:r>
        <w:t xml:space="preserve"> </w:t>
      </w:r>
      <w:r>
        <w:t xml:space="preserve">closed-access trials have none available.</w:t>
      </w:r>
    </w:p>
    <w:p>
      <w:pPr>
        <w:pStyle w:val="Compact"/>
        <w:numPr>
          <w:ilvl w:val="0"/>
          <w:numId w:val="1014"/>
        </w:numPr>
      </w:pPr>
      <w:r>
        <w:rPr>
          <w:b/>
          <w:bCs/>
        </w:rPr>
        <w:t xml:space="preserve">The answer keys were written by the AI assistant used to build the system,</w:t>
      </w:r>
      <w:r>
        <w:t xml:space="preserve"> </w:t>
      </w:r>
      <w:r>
        <w:t xml:space="preserve">by reading each image. A blind second reading by two other models (Section</w:t>
      </w:r>
      <w:r>
        <w:t xml:space="preserve"> </w:t>
      </w:r>
      <w:r>
        <w:t xml:space="preserve">6.14.7) found no number in them that the image contradicts, but no human has</w:t>
      </w:r>
      <w:r>
        <w:t xml:space="preserve"> </w:t>
      </w:r>
      <w:r>
        <w:t xml:space="preserve">checked them, and the disagreements were settled by the assistant that wrote</w:t>
      </w:r>
      <w:r>
        <w:t xml:space="preserve"> </w:t>
      </w:r>
      <w:r>
        <w:t xml:space="preserve">the keys. Section 3.5.4's concern about single-annotator gold standards</w:t>
      </w:r>
      <w:r>
        <w:t xml:space="preserve"> </w:t>
      </w:r>
      <w:r>
        <w:t xml:space="preserve">therefore still applies, in a narrower form.</w:t>
      </w:r>
    </w:p>
    <w:p>
      <w:pPr>
        <w:pStyle w:val="Compact"/>
        <w:numPr>
          <w:ilvl w:val="0"/>
          <w:numId w:val="1014"/>
        </w:numPr>
      </w:pPr>
      <w:r>
        <w:rPr>
          <w:b/>
          <w:bCs/>
        </w:rPr>
        <w:t xml:space="preserve">Units.</w:t>
      </w:r>
      <w:r>
        <w:t xml:space="preserve"> </w:t>
      </w:r>
      <w:r>
        <w:t xml:space="preserve">Cluster trials randomise clinics or schools and analyse people.</w:t>
      </w:r>
      <w:r>
        <w:t xml:space="preserve"> </w:t>
      </w:r>
      <w:r>
        <w:t xml:space="preserve">The reader reports what each box says and does not reconcile units, so its</w:t>
      </w:r>
      <w:r>
        <w:t xml:space="preserve"> </w:t>
      </w:r>
      <w:r>
        <w:t xml:space="preserve">randomised and analysed counts for such a trial can refer to different</w:t>
      </w:r>
      <w:r>
        <w:t xml:space="preserve"> </w:t>
      </w:r>
      <w:r>
        <w:t xml:space="preserve">things, exactly as the diagram does.</w:t>
      </w:r>
    </w:p>
    <w:p>
      <w:pPr>
        <w:pStyle w:val="Compact"/>
        <w:numPr>
          <w:ilvl w:val="0"/>
          <w:numId w:val="1014"/>
        </w:numPr>
      </w:pPr>
      <w:r>
        <w:rPr>
          <w:b/>
          <w:bCs/>
        </w:rPr>
        <w:t xml:space="preserve">Scale of the evidence.</w:t>
      </w:r>
      <w:r>
        <w:t xml:space="preserve"> </w:t>
      </w:r>
      <w:r>
        <w:t xml:space="preserve">42 held-out diagrams give 69 scored decision</w:t>
      </w:r>
      <w:r>
        <w:t xml:space="preserve"> </w:t>
      </w:r>
      <w:r>
        <w:t xml:space="preserve">counts. The interval on the reader's accuracy is correspondingly wide, from</w:t>
      </w:r>
      <w:r>
        <w:t xml:space="preserve"> </w:t>
      </w:r>
      <w:r>
        <w:t xml:space="preserve">79% to 94%, though it does not approach the text method's.</w:t>
      </w:r>
    </w:p>
    <w:bookmarkEnd w:id="202"/>
    <w:bookmarkStart w:id="203" w:name="X41e69e4e11371ea47e4cf040641a4b2e2061fd1"/>
    <w:p>
      <w:pPr>
        <w:pStyle w:val="Heading3"/>
      </w:pPr>
      <w:r>
        <w:t xml:space="preserve">6.14.7 A second, blind reading of the answer keys</w:t>
      </w:r>
    </w:p>
    <w:p>
      <w:pPr>
        <w:pStyle w:val="FirstParagraph"/>
      </w:pPr>
      <w:r>
        <w:t xml:space="preserve">Every answer key above was written by one annotator, the AI assistant that</w:t>
      </w:r>
      <w:r>
        <w:t xml:space="preserve"> </w:t>
      </w:r>
      <w:r>
        <w:t xml:space="preserve">built the reader, so a second reading was obtained from models of a different</w:t>
      </w:r>
      <w:r>
        <w:t xml:space="preserve"> </w:t>
      </w:r>
      <w:r>
        <w:t xml:space="preserve">family. Each figure went to the second reader in a new conversation with the</w:t>
      </w:r>
      <w:r>
        <w:t xml:space="preserve"> </w:t>
      </w:r>
      <w:r>
        <w:t xml:space="preserve">written stage definitions and nothing else: no key, no notes and no reader</w:t>
      </w:r>
      <w:r>
        <w:t xml:space="preserve"> </w:t>
      </w:r>
      <w:r>
        <w:t xml:space="preserve">output (</w:t>
      </w:r>
      <w:r>
        <w:rPr>
          <w:rStyle w:val="VerbatimChar"/>
        </w:rPr>
        <w:t xml:space="preserve">scripts/second_annotator.py</w:t>
      </w:r>
      <w:r>
        <w:t xml:space="preserve">). Qwen read 40 figures before reaching</w:t>
      </w:r>
      <w:r>
        <w:t xml:space="preserve"> </w:t>
      </w:r>
      <w:r>
        <w:t xml:space="preserve">its daily limit and ChatGPT read the remaining 39, so every figure has a second</w:t>
      </w:r>
      <w:r>
        <w:t xml:space="preserve"> </w:t>
      </w:r>
      <w:r>
        <w:t xml:space="preserve">reading. One figure needed the attachment re-encoded: ChatGPT's upload took the</w:t>
      </w:r>
      <w:r>
        <w:t xml:space="preserve"> </w:t>
      </w:r>
      <w:r>
        <w:t xml:space="preserve">JPEG and returned no reply, four times over, while Qwen read the same file and</w:t>
      </w:r>
      <w:r>
        <w:t xml:space="preserve"> </w:t>
      </w:r>
      <w:r>
        <w:t xml:space="preserve">ChatGPT read the same figure as a PNG, which is the difference the script now</w:t>
      </w:r>
      <w:r>
        <w:t xml:space="preserve"> </w:t>
      </w:r>
      <w:r>
        <w:t xml:space="preserve">acts on rather than recording a blank answer. The readings are pooled below and</w:t>
      </w:r>
      <w:r>
        <w:t xml:space="preserve"> </w:t>
      </w:r>
      <w:r>
        <w:t xml:space="preserve">kept apart in the evidence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Second reader</w:t>
            </w:r>
          </w:p>
        </w:tc>
        <w:tc>
          <w:tcPr/>
          <w:p>
            <w:pPr>
              <w:pStyle w:val="Compact"/>
              <w:jc w:val="right"/>
            </w:pPr>
            <w:r>
              <w:t xml:space="preserve">Figures</w:t>
            </w:r>
          </w:p>
        </w:tc>
        <w:tc>
          <w:tcPr/>
          <w:p>
            <w:pPr>
              <w:pStyle w:val="Compact"/>
              <w:jc w:val="right"/>
            </w:pPr>
            <w:r>
              <w:t xml:space="preserve">Stage values</w:t>
            </w:r>
          </w:p>
        </w:tc>
        <w:tc>
          <w:tcPr/>
          <w:p>
            <w:pPr>
              <w:pStyle w:val="Compact"/>
              <w:jc w:val="right"/>
            </w:pPr>
            <w:r>
              <w:t xml:space="preserve">Agreed with the key</w:t>
            </w:r>
          </w:p>
        </w:tc>
      </w:tr>
      <w:tr>
        <w:tc>
          <w:tcPr/>
          <w:p>
            <w:pPr>
              <w:pStyle w:val="Compact"/>
            </w:pPr>
            <w:r>
              <w:t xml:space="preserve">Qwen</w:t>
            </w:r>
          </w:p>
        </w:tc>
        <w:tc>
          <w:tcPr/>
          <w:p>
            <w:pPr>
              <w:pStyle w:val="Compact"/>
              <w:jc w:val="right"/>
            </w:pPr>
            <w:r>
              <w:t xml:space="preserve">40</w:t>
            </w:r>
          </w:p>
        </w:tc>
        <w:tc>
          <w:tcPr/>
          <w:p>
            <w:pPr>
              <w:pStyle w:val="Compact"/>
              <w:jc w:val="right"/>
            </w:pPr>
            <w:r>
              <w:t xml:space="preserve">153</w:t>
            </w:r>
          </w:p>
        </w:tc>
        <w:tc>
          <w:tcPr/>
          <w:p>
            <w:pPr>
              <w:pStyle w:val="Compact"/>
              <w:jc w:val="right"/>
            </w:pPr>
            <w:r>
              <w:t xml:space="preserve">135 (88%)</w:t>
            </w:r>
          </w:p>
        </w:tc>
      </w:tr>
      <w:tr>
        <w:tc>
          <w:tcPr/>
          <w:p>
            <w:pPr>
              <w:pStyle w:val="Compact"/>
            </w:pPr>
            <w:r>
              <w:t xml:space="preserve">ChatGPT</w:t>
            </w:r>
          </w:p>
        </w:tc>
        <w:tc>
          <w:tcPr/>
          <w:p>
            <w:pPr>
              <w:pStyle w:val="Compact"/>
              <w:jc w:val="right"/>
            </w:pPr>
            <w:r>
              <w:t xml:space="preserve">39</w:t>
            </w:r>
          </w:p>
        </w:tc>
        <w:tc>
          <w:tcPr/>
          <w:p>
            <w:pPr>
              <w:pStyle w:val="Compact"/>
              <w:jc w:val="right"/>
            </w:pPr>
            <w:r>
              <w:t xml:space="preserve">152</w:t>
            </w:r>
          </w:p>
        </w:tc>
        <w:tc>
          <w:tcPr/>
          <w:p>
            <w:pPr>
              <w:pStyle w:val="Compact"/>
              <w:jc w:val="right"/>
            </w:pPr>
            <w:r>
              <w:t xml:space="preserve">144 (95%)</w:t>
            </w:r>
          </w:p>
        </w:tc>
      </w:tr>
      <w:tr>
        <w:tc>
          <w:tcPr/>
          <w:p>
            <w:pPr>
              <w:pStyle w:val="Compact"/>
            </w:pPr>
            <w:r>
              <w:t xml:space="preserve">Both</w:t>
            </w:r>
          </w:p>
        </w:tc>
        <w:tc>
          <w:tcPr/>
          <w:p>
            <w:pPr>
              <w:pStyle w:val="Compact"/>
              <w:jc w:val="right"/>
            </w:pPr>
            <w:r>
              <w:t xml:space="preserve">79</w:t>
            </w:r>
          </w:p>
        </w:tc>
        <w:tc>
          <w:tcPr/>
          <w:p>
            <w:pPr>
              <w:pStyle w:val="Compact"/>
              <w:jc w:val="right"/>
            </w:pPr>
            <w:r>
              <w:t xml:space="preserve">305</w:t>
            </w:r>
          </w:p>
        </w:tc>
        <w:tc>
          <w:tcPr/>
          <w:p>
            <w:pPr>
              <w:pStyle w:val="Compact"/>
              <w:jc w:val="right"/>
            </w:pPr>
            <w:r>
              <w:t xml:space="preserve">279 (91%)</w:t>
            </w:r>
          </w:p>
        </w:tc>
      </w:tr>
    </w:tbl>
    <w:p>
      <w:pPr>
        <w:pStyle w:val="BodyText"/>
      </w:pPr>
      <w:r>
        <w:t xml:space="preserve">Each of the 26 disagreements was settled by looking at the image, and none</w:t>
      </w:r>
      <w:r>
        <w:t xml:space="preserve"> </w:t>
      </w:r>
      <w:r>
        <w:t xml:space="preserve">showed a number in the key that the figure contradicts. Ten were the second</w:t>
      </w:r>
      <w:r>
        <w:t xml:space="preserve"> </w:t>
      </w:r>
      <w:r>
        <w:t xml:space="preserve">reader's errors. In two figures Qwen reported counts that appear nowhere in the</w:t>
      </w:r>
      <w:r>
        <w:t xml:space="preserve"> </w:t>
      </w:r>
      <w:r>
        <w:t xml:space="preserve">image, 145, 100 and 98 for a diagram that prints 67, 60 and 60; in one it</w:t>
      </w:r>
      <w:r>
        <w:t xml:space="preserve"> </w:t>
      </w:r>
      <w:r>
        <w:t xml:space="preserve">answered nothing although the upload had succeeded; and ChatGPT once added</w:t>
      </w:r>
      <w:r>
        <w:t xml:space="preserve"> </w:t>
      </w:r>
      <w:r>
        <w:t xml:space="preserve">educators and students into a single total. The other sixteen are cases the</w:t>
      </w:r>
      <w:r>
        <w:t xml:space="preserve"> </w:t>
      </w:r>
      <w:r>
        <w:t xml:space="preserve">definitions do not settle, and they recur in four forms: a top box that names a</w:t>
      </w:r>
      <w:r>
        <w:t xml:space="preserve"> </w:t>
      </w:r>
      <w:r>
        <w:t xml:space="preserve">cohort without saying it was screened, a flow that ends at an assessment or</w:t>
      </w:r>
      <w:r>
        <w:t xml:space="preserve"> </w:t>
      </w:r>
      <w:r>
        <w:t xml:space="preserve">follow-up rather than a stage labelled analysed, a cluster trial that</w:t>
      </w:r>
      <w:r>
        <w:t xml:space="preserve"> </w:t>
      </w:r>
      <w:r>
        <w:t xml:space="preserve">randomises centres and counts people, and repeated analysis rows, where the</w:t>
      </w:r>
      <w:r>
        <w:t xml:space="preserve"> </w:t>
      </w:r>
      <w:r>
        <w:t xml:space="preserve">definition's "first-listed analysis" gives 224 and the key took the final row,</w:t>
      </w:r>
      <w:r>
        <w:t xml:space="preserve"> </w:t>
      </w:r>
      <w:r>
        <w:t xml:space="preserve">213. Those four forms, not misread numbers, are where the key needs a firmer</w:t>
      </w:r>
      <w:r>
        <w:t xml:space="preserve"> </w:t>
      </w:r>
      <w:r>
        <w:t xml:space="preserve">rule.</w:t>
      </w:r>
    </w:p>
    <w:p>
      <w:pPr>
        <w:pStyle w:val="BodyText"/>
      </w:pPr>
      <w:r>
        <w:t xml:space="preserve">Setting the sixteen aside as unscored moves the reader's held-out result from</w:t>
      </w:r>
      <w:r>
        <w:t xml:space="preserve"> </w:t>
      </w:r>
      <w:r>
        <w:t xml:space="preserve">61 of 69 to 59 of 67, with the text method right on 2 in both, and the second</w:t>
      </w:r>
      <w:r>
        <w:t xml:space="preserve"> </w:t>
      </w:r>
      <w:r>
        <w:t xml:space="preserve">development set from 50 of 53 to 49 of 52. The conclusion of Section 6.14.4</w:t>
      </w:r>
      <w:r>
        <w:t xml:space="preserve"> </w:t>
      </w:r>
      <w:r>
        <w:t xml:space="preserve">does not change. The result is still reported on the original key, because that</w:t>
      </w:r>
      <w:r>
        <w:t xml:space="preserve"> </w:t>
      </w:r>
      <w:r>
        <w:t xml:space="preserve">key was committed before the reader saw the figures.</w:t>
      </w:r>
    </w:p>
    <w:p>
      <w:pPr>
        <w:pStyle w:val="BodyText"/>
      </w:pPr>
      <w:r>
        <w:t xml:space="preserve">Two limits apply. The disagreements were settled by the annotator who wrote the</w:t>
      </w:r>
      <w:r>
        <w:t xml:space="preserve"> </w:t>
      </w:r>
      <w:r>
        <w:t xml:space="preserve">key, so the adjudication is not independent; every decision is listed with its</w:t>
      </w:r>
      <w:r>
        <w:t xml:space="preserve"> </w:t>
      </w:r>
      <w:r>
        <w:t xml:space="preserve">reason in</w:t>
      </w:r>
      <w:r>
        <w:t xml:space="preserve"> </w:t>
      </w:r>
      <w:r>
        <w:rPr>
          <w:rStyle w:val="VerbatimChar"/>
        </w:rPr>
        <w:t xml:space="preserve">thesis/evidence/flow_diagrams/adjudication.json</w:t>
      </w:r>
      <w:r>
        <w:t xml:space="preserve">, 26 entries a</w:t>
      </w:r>
      <w:r>
        <w:t xml:space="preserve"> </w:t>
      </w:r>
      <w:r>
        <w:t xml:space="preserve">reviewer can check against the images. And the second reader is itself a</w:t>
      </w:r>
      <w:r>
        <w:t xml:space="preserve"> </w:t>
      </w:r>
      <w:r>
        <w:t xml:space="preserve">model, one that invented plausible counts for 2 of the 79 figures, so agreement</w:t>
      </w:r>
      <w:r>
        <w:t xml:space="preserve"> </w:t>
      </w:r>
      <w:r>
        <w:t xml:space="preserve">with it is evidence about the key rather than a substitute for a human check.</w:t>
      </w:r>
    </w:p>
    <w:bookmarkEnd w:id="203"/>
    <w:bookmarkEnd w:id="204"/>
    <w:bookmarkEnd w:id="205"/>
    <w:bookmarkStart w:id="220" w:name="chapter-7-discussion"/>
    <w:p>
      <w:pPr>
        <w:pStyle w:val="Heading1"/>
      </w:pPr>
      <w:r>
        <w:t xml:space="preserve">Chapter 7: Discussion</w:t>
      </w:r>
    </w:p>
    <w:bookmarkStart w:id="210" w:name="interpretation-of-results"/>
    <w:p>
      <w:pPr>
        <w:pStyle w:val="Heading2"/>
      </w:pPr>
      <w:r>
        <w:t xml:space="preserve">7.1 Interpretation of Results</w:t>
      </w:r>
    </w:p>
    <w:bookmarkStart w:id="206"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206"/>
    <w:bookmarkStart w:id="207"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207"/>
    <w:bookmarkStart w:id="208"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208"/>
    <w:bookmarkStart w:id="209"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209"/>
    <w:bookmarkEnd w:id="210"/>
    <w:bookmarkStart w:id="211"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211"/>
    <w:bookmarkStart w:id="216" w:name="threats-to-validity"/>
    <w:p>
      <w:pPr>
        <w:pStyle w:val="Heading2"/>
      </w:pPr>
      <w:r>
        <w:t xml:space="preserve">7.3 Threats to Validity</w:t>
      </w:r>
    </w:p>
    <w:bookmarkStart w:id="212"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212"/>
    <w:bookmarkStart w:id="213"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13"/>
    <w:bookmarkStart w:id="214"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14"/>
    <w:bookmarkStart w:id="215" w:name="conclusion-validity"/>
    <w:p>
      <w:pPr>
        <w:pStyle w:val="Heading3"/>
      </w:pPr>
      <w:r>
        <w:t xml:space="preserve">7.3.4 Conclusion validity</w:t>
      </w:r>
    </w:p>
    <w:p>
      <w:pPr>
        <w:pStyle w:val="FirstParagraph"/>
      </w:pPr>
      <w:r>
        <w:rPr>
          <w:b/>
          <w:bCs/>
        </w:rPr>
        <w:t xml:space="preserve">No judgement of ranking quality.</w:t>
      </w:r>
      <w:r>
        <w:t xml:space="preserve"> </w:t>
      </w:r>
      <w:r>
        <w:t xml:space="preserve">The central question, does</w:t>
      </w:r>
      <w:r>
        <w:t xml:space="preserve"> </w:t>
      </w:r>
      <w:r>
        <w:t xml:space="preserve">evidence-weighted ranking outperform unweighted PageRank?, is only half tested.</w:t>
      </w:r>
      <w:r>
        <w:t xml:space="preserve"> </w:t>
      </w:r>
      <w:r>
        <w:t xml:space="preserve">The structural comparison was run late, and it first showed that a scale fault</w:t>
      </w:r>
      <w:r>
        <w:t xml:space="preserve"> </w:t>
      </w:r>
      <w:r>
        <w:t xml:space="preserve">kept the weighting from affecting the ranking at all (Section 5.6.4). After the</w:t>
      </w:r>
      <w:r>
        <w:t xml:space="preserve"> </w:t>
      </w:r>
      <w:r>
        <w:t xml:space="preserve">fix, the weighting changes the top ten for one seed in three. No human</w:t>
      </w:r>
      <w:r>
        <w:t xml:space="preserve"> </w:t>
      </w:r>
      <w:r>
        <w:t xml:space="preserve">relevance judgements were collected, so nobody has judged whether those changes</w:t>
      </w:r>
      <w:r>
        <w:t xml:space="preserve"> </w:t>
      </w:r>
      <w:r>
        <w:t xml:space="preserve">are improvements, and the AlphaFold-to-Anfinsen result in Section 6.5 turned</w:t>
      </w:r>
      <w:r>
        <w:t xml:space="preserve"> </w:t>
      </w:r>
      <w:r>
        <w:t xml:space="preserve">out to be a tie. This thesis therefore demonstrates that evidence-weighted</w:t>
      </w:r>
      <w:r>
        <w:t xml:space="preserve"> </w:t>
      </w:r>
      <w:r>
        <w:t xml:space="preserve">ranking</w:t>
      </w:r>
      <w:r>
        <w:t xml:space="preserve"> </w:t>
      </w:r>
      <w:r>
        <w:rPr>
          <w:i/>
          <w:iCs/>
        </w:rPr>
        <w:t xml:space="preserve">can be computed</w:t>
      </w:r>
      <w:r>
        <w:t xml:space="preserve"> </w:t>
      </w:r>
      <w:r>
        <w:t xml:space="preserve">and now</w:t>
      </w:r>
      <w:r>
        <w:t xml:space="preserve"> </w:t>
      </w:r>
      <w:r>
        <w:rPr>
          <w:i/>
          <w:iCs/>
        </w:rPr>
        <w:t xml:space="preserve">changes the output</w:t>
      </w:r>
      <w:r>
        <w:t xml:space="preserve">, not that it is better.</w:t>
      </w:r>
      <w:r>
        <w:t xml:space="preserve"> </w:t>
      </w:r>
      <w:r>
        <w:t xml:space="preserve">That is the most significant unaddressed question in the work.</w:t>
      </w:r>
    </w:p>
    <w:bookmarkEnd w:id="215"/>
    <w:bookmarkEnd w:id="216"/>
    <w:bookmarkStart w:id="217"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reads abstracts, and full text only for open-access papers in Europe PMC whose abstract gave no population. For every other paper a sample size stated only in Methods is unreachable, and the fallback itself is unmeasured.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17"/>
    <w:bookmarkStart w:id="218"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5"/>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5"/>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5"/>
        </w:numPr>
      </w:pPr>
      <w:r>
        <w:rPr>
          <w:b/>
          <w:bCs/>
        </w:rPr>
        <w:t xml:space="preserve">Confidence is uncalibrated</w:t>
      </w:r>
      <w:r>
        <w:t xml:space="preserve"> </w:t>
      </w:r>
      <w:r>
        <w:t xml:space="preserve">(§6.4.4).</w:t>
      </w:r>
    </w:p>
    <w:p>
      <w:pPr>
        <w:pStyle w:val="Compact"/>
        <w:numPr>
          <w:ilvl w:val="0"/>
          <w:numId w:val="1015"/>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5"/>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18"/>
    <w:bookmarkStart w:id="219"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The only full text the</w:t>
      </w:r>
      <w:r>
        <w:t xml:space="preserve"> </w:t>
      </w:r>
      <w:r>
        <w:t xml:space="preserve">system reads is Europe PMC's open-access subset and arXiv preprints, and the</w:t>
      </w:r>
      <w:r>
        <w:t xml:space="preserve"> </w:t>
      </w:r>
      <w:r>
        <w:t xml:space="preserve">only figures are flow diagrams from the PMC open-access collection, which it</w:t>
      </w:r>
      <w:r>
        <w:t xml:space="preserve"> </w:t>
      </w:r>
      <w:r>
        <w:t xml:space="preserve">reads for their counts but does not republish. Restricting every source to open</w:t>
      </w:r>
      <w:r>
        <w:t xml:space="preserve"> </w:t>
      </w:r>
      <w:r>
        <w:t xml:space="preserve">access is what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19"/>
    <w:bookmarkEnd w:id="220"/>
    <w:bookmarkStart w:id="234" w:name="chapter-8-conclusion-and-future-work"/>
    <w:p>
      <w:pPr>
        <w:pStyle w:val="Heading1"/>
      </w:pPr>
      <w:r>
        <w:t xml:space="preserve">Chapter 8: Conclusion and Future Work</w:t>
      </w:r>
    </w:p>
    <w:bookmarkStart w:id="221"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Typing improves sharply when the count</w:t>
      </w:r>
      <w:r>
        <w:t xml:space="preserve"> </w:t>
      </w:r>
      <w:r>
        <w:t xml:space="preserve">is read from a trial's participant-flow diagram instead: on 42 held-out</w:t>
      </w:r>
      <w:r>
        <w:t xml:space="preserve"> </w:t>
      </w:r>
      <w:r>
        <w:t xml:space="preserve">diagrams a vision reader was right on 61 of 69 stated counts where the text</w:t>
      </w:r>
      <w:r>
        <w:t xml:space="preserve"> </w:t>
      </w:r>
      <w:r>
        <w:t xml:space="preserve">method was right on 2 (Section 6.14).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and</w:t>
      </w:r>
      <w:r>
        <w:t xml:space="preserve"> </w:t>
      </w:r>
      <w:r>
        <w:t xml:space="preserve">for most of the project the weighting did not reach the ranking at all. When</w:t>
      </w:r>
      <w:r>
        <w:t xml:space="preserve"> </w:t>
      </w:r>
      <w:r>
        <w:t xml:space="preserve">the comparison against unweighted PageRank was finally run, PageRank on its raw</w:t>
      </w:r>
      <w:r>
        <w:t xml:space="preserve"> </w:t>
      </w:r>
      <w:r>
        <w:t xml:space="preserve">scale supplied about 1% of a top paper's score, so the evidence-weighted edges</w:t>
      </w:r>
      <w:r>
        <w:t xml:space="preserve"> </w:t>
      </w:r>
      <w:r>
        <w:t xml:space="preserve">changed nothing the user saw (Section 5.6.4). With the scale fixed, the</w:t>
      </w:r>
      <w:r>
        <w:t xml:space="preserve"> </w:t>
      </w:r>
      <w:r>
        <w:t xml:space="preserve">weighting changes the top ten for one seed in three. Seeded with the 2021</w:t>
      </w:r>
      <w:r>
        <w:t xml:space="preserve"> </w:t>
      </w:r>
      <w:r>
        <w:t xml:space="preserve">AlphaFold paper, the system places Anfinsen's 1973 paper founding the</w:t>
      </w:r>
      <w:r>
        <w:t xml:space="preserve"> </w:t>
      </w:r>
      <w:r>
        <w:t xml:space="preserve">protein-folding problem in its top two, though tied with the paper above it.</w:t>
      </w:r>
      <w:r>
        <w:t xml:space="preserve"> </w:t>
      </w:r>
      <w:r>
        <w:t xml:space="preserve">This thesis shows the ranking</w:t>
      </w:r>
      <w:r>
        <w:t xml:space="preserve"> </w:t>
      </w:r>
      <w:r>
        <w:rPr>
          <w:i/>
          <w:iCs/>
        </w:rPr>
        <w:t xml:space="preserve">can be computed</w:t>
      </w:r>
      <w:r>
        <w:t xml:space="preserve"> </w:t>
      </w:r>
      <w:r>
        <w:t xml:space="preserve">and now</w:t>
      </w:r>
      <w:r>
        <w:t xml:space="preserve"> </w:t>
      </w:r>
      <w:r>
        <w:rPr>
          <w:i/>
          <w:iCs/>
        </w:rPr>
        <w:t xml:space="preserve">responds to the</w:t>
      </w:r>
      <w:r>
        <w:rPr>
          <w:i/>
          <w:iCs/>
        </w:rPr>
        <w:t xml:space="preserve"> </w:t>
      </w:r>
      <w:r>
        <w:rPr>
          <w:i/>
          <w:iCs/>
        </w:rPr>
        <w:t xml:space="preserve">evidence</w:t>
      </w:r>
      <w:r>
        <w:t xml:space="preserve">, not that it is better than the unweighted baseline; that needs the</w:t>
      </w:r>
      <w:r>
        <w:t xml:space="preserve"> </w:t>
      </w:r>
      <w:r>
        <w:t xml:space="preserve">relevance judgement study that was not run, and it is the principal unaddressed</w:t>
      </w:r>
      <w:r>
        <w:t xml:space="preserve"> </w:t>
      </w:r>
      <w:r>
        <w:t xml:space="preserve">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reads full text only as an unmeasured</w:t>
      </w:r>
      <w:r>
        <w:t xml:space="preserve"> </w:t>
      </w:r>
      <w:r>
        <w:t xml:space="preserve">fallback for open-access papers, and its</w:t>
      </w:r>
      <w:r>
        <w:t xml:space="preserve"> </w:t>
      </w:r>
      <w:r>
        <w:t xml:space="preserve">uncertainty signalling is weaker than its interface implies.</w:t>
      </w:r>
    </w:p>
    <w:bookmarkEnd w:id="221"/>
    <w:bookmarkStart w:id="232" w:name="future-work"/>
    <w:p>
      <w:pPr>
        <w:pStyle w:val="Heading2"/>
      </w:pPr>
      <w:r>
        <w:t xml:space="preserve">8.2 Future Work</w:t>
      </w:r>
    </w:p>
    <w:p>
      <w:pPr>
        <w:pStyle w:val="FirstParagraph"/>
      </w:pPr>
      <w:r>
        <w:t xml:space="preserve">Ordered by expected value relative to cost.</w:t>
      </w:r>
    </w:p>
    <w:bookmarkStart w:id="222"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22"/>
    <w:bookmarkStart w:id="223" w:name="compare-against-an-unweighted-baseline"/>
    <w:p>
      <w:pPr>
        <w:pStyle w:val="Heading3"/>
      </w:pPr>
      <w:r>
        <w:t xml:space="preserve">8.2.2 Compare against an unweighted baseline</w:t>
      </w:r>
    </w:p>
    <w:p>
      <w:pPr>
        <w:pStyle w:val="FirstParagraph"/>
      </w:pPr>
      <w:r>
        <w:t xml:space="preserve">The central unanswered question (§7.3.4). The structural half of this</w:t>
      </w:r>
      <w:r>
        <w:t xml:space="preserve"> </w:t>
      </w:r>
      <w:r>
        <w:t xml:space="preserve">comparison now exists:</w:t>
      </w:r>
      <w:r>
        <w:t xml:space="preserve"> </w:t>
      </w:r>
      <w:r>
        <w:rPr>
          <w:rStyle w:val="VerbatimChar"/>
        </w:rPr>
        <w:t xml:space="preserve">scripts/compare_rankings.py</w:t>
      </w:r>
      <w:r>
        <w:t xml:space="preserve"> </w:t>
      </w:r>
      <w:r>
        <w:t xml:space="preserve">ranks the same graph with</w:t>
      </w:r>
      <w:r>
        <w:t xml:space="preserve"> </w:t>
      </w:r>
      <w:r>
        <w:t xml:space="preserve">and without the evidence weighting, and after the fix of Section 5.6.4 the two</w:t>
      </w:r>
      <w:r>
        <w:t xml:space="preserve"> </w:t>
      </w:r>
      <w:r>
        <w:t xml:space="preserve">differ for one seed in three. The missing half is the judgement: domain readers</w:t>
      </w:r>
      <w:r>
        <w:t xml:space="preserve"> </w:t>
      </w:r>
      <w:r>
        <w:t xml:space="preserve">rating the relevance of both top tens, blind to which is which. Without it the</w:t>
      </w:r>
      <w:r>
        <w:t xml:space="preserve"> </w:t>
      </w:r>
      <w:r>
        <w:t xml:space="preserve">system's core premise is plausible but untested, and this is the first</w:t>
      </w:r>
      <w:r>
        <w:t xml:space="preserve"> </w:t>
      </w:r>
      <w:r>
        <w:t xml:space="preserve">experiment a continuation of this work should run.</w:t>
      </w:r>
    </w:p>
    <w:bookmarkEnd w:id="223"/>
    <w:bookmarkStart w:id="224"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24"/>
    <w:bookmarkStart w:id="225"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25"/>
    <w:bookmarkStart w:id="226"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The pipeline already reads the Methods and</w:t>
      </w:r>
      <w:r>
        <w:t xml:space="preserve"> </w:t>
      </w:r>
      <w:r>
        <w:t xml:space="preserve">Results of open-access papers in Europe PMC when their abstract states no</w:t>
      </w:r>
      <w:r>
        <w:t xml:space="preserve"> </w:t>
      </w:r>
      <w:r>
        <w:t xml:space="preserve">population, but that fallback has never been scored. The first step is to add</w:t>
      </w:r>
      <w:r>
        <w:t xml:space="preserve"> </w:t>
      </w:r>
      <w:r>
        <w:t xml:space="preserve">papers whose population appears only in the full text to the gold standard and</w:t>
      </w:r>
      <w:r>
        <w:t xml:space="preserve"> </w:t>
      </w:r>
      <w:r>
        <w:t xml:space="preserve">measure it. Beyond Europe PMC, GROBID [lopez2009grobid] is anticipated in the</w:t>
      </w:r>
      <w:r>
        <w:t xml:space="preserve"> </w:t>
      </w:r>
      <w:r>
        <w:t xml:space="preserve">configuration for PDFs, and Unpaywall [martin2021oadoi] would determine which</w:t>
      </w:r>
      <w:r>
        <w:t xml:space="preserve"> </w:t>
      </w:r>
      <w:r>
        <w:t xml:space="preserve">of them are legally retrievable, keeping the system within the bounds §7.6</w:t>
      </w:r>
      <w:r>
        <w:t xml:space="preserve"> </w:t>
      </w:r>
      <w:r>
        <w:t xml:space="preserve">describes.</w:t>
      </w:r>
    </w:p>
    <w:bookmarkEnd w:id="226"/>
    <w:bookmarkStart w:id="227"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27"/>
    <w:bookmarkStart w:id="228"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28"/>
    <w:bookmarkStart w:id="229"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29"/>
    <w:bookmarkStart w:id="230"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30"/>
    <w:bookmarkStart w:id="231" w:name="weight-edges-with-diagram-counts"/>
    <w:p>
      <w:pPr>
        <w:pStyle w:val="Heading3"/>
      </w:pPr>
      <w:r>
        <w:t xml:space="preserve">8.2.10 Weight edges with diagram counts</w:t>
      </w:r>
    </w:p>
    <w:p>
      <w:pPr>
        <w:pStyle w:val="FirstParagraph"/>
      </w:pPr>
      <w:r>
        <w:t xml:space="preserve">The flow-diagram reader of Section 6.14 runs on demand and its counts are shown</w:t>
      </w:r>
      <w:r>
        <w:t xml:space="preserve"> </w:t>
      </w:r>
      <w:r>
        <w:t xml:space="preserve">beside the abstract extraction without changing any weight. Using them in the</w:t>
      </w:r>
      <w:r>
        <w:t xml:space="preserve"> </w:t>
      </w:r>
      <w:r>
        <w:t xml:space="preserve">weighting needs a rule for the cases where the diagram and the abstract</w:t>
      </w:r>
      <w:r>
        <w:t xml:space="preserve"> </w:t>
      </w:r>
      <w:r>
        <w:t xml:space="preserve">disagree, and a measurement of how often each is right when they do. The four</w:t>
      </w:r>
      <w:r>
        <w:t xml:space="preserve"> </w:t>
      </w:r>
      <w:r>
        <w:t xml:space="preserve">held-out failure patterns listed in Section 6.14.5 should be fixed first and</w:t>
      </w:r>
      <w:r>
        <w:t xml:space="preserve"> </w:t>
      </w:r>
      <w:r>
        <w:t xml:space="preserve">evaluated on a new set of diagrams, since they were found on this one.</w:t>
      </w:r>
    </w:p>
    <w:bookmarkEnd w:id="231"/>
    <w:bookmarkEnd w:id="232"/>
    <w:bookmarkStart w:id="233"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33"/>
    <w:bookmarkEnd w:id="234"/>
    <w:bookmarkStart w:id="240"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35"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35"/>
    <w:bookmarkStart w:id="236"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36"/>
    <w:bookmarkStart w:id="237"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37"/>
    <w:bookmarkStart w:id="238"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38"/>
    <w:bookmarkStart w:id="239"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39"/>
    <w:bookmarkEnd w:id="240"/>
    <w:bookmarkStart w:id="247"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41"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41"/>
    <w:bookmarkStart w:id="242"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42"/>
    <w:bookmarkStart w:id="243"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43"/>
    <w:bookmarkStart w:id="244"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44"/>
    <w:bookmarkStart w:id="245"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GROBID is never called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45"/>
    <w:bookmarkStart w:id="246"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46"/>
    <w:bookmarkEnd w:id="247"/>
    <w:bookmarkStart w:id="257"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48"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48"/>
    <w:bookmarkStart w:id="249"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273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49"/>
    <w:bookmarkStart w:id="250"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50"/>
    <w:bookmarkStart w:id="251"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51"/>
    <w:bookmarkStart w:id="252"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p>
      <w:pPr>
        <w:pStyle w:val="BodyText"/>
      </w:pPr>
      <w:r>
        <w:t xml:space="preserve">The rest of the thesis can drift, and</w:t>
      </w:r>
      <w:r>
        <w:t xml:space="preserve"> </w:t>
      </w:r>
      <w:r>
        <w:rPr>
          <w:rStyle w:val="VerbatimChar"/>
        </w:rPr>
        <w:t xml:space="preserve">tests/test_the_thesis_does_not_drift.py</w:t>
      </w:r>
      <w:r>
        <w:t xml:space="preserve"> </w:t>
      </w:r>
      <w:r>
        <w:t xml:space="preserve">checks it with the rest of the suite. It compares the headline results with</w:t>
      </w:r>
      <w:r>
        <w:t xml:space="preserve"> </w:t>
      </w:r>
      <w:r>
        <w:rPr>
          <w:rStyle w:val="VerbatimChar"/>
        </w:rPr>
        <w:t xml:space="preserve">thesis/evidence/</w:t>
      </w:r>
      <w:r>
        <w:t xml:space="preserve">, the generated figures and the counts quoted from them with</w:t>
      </w:r>
      <w:r>
        <w:t xml:space="preserve"> </w:t>
      </w:r>
      <w:r>
        <w:t xml:space="preserve">the source, and the assembled document, PDFs and quoted page and test counts</w:t>
      </w:r>
      <w:r>
        <w:t xml:space="preserve"> </w:t>
      </w:r>
      <w:r>
        <w:t xml:space="preserve">with what is committed. It also keeps a ratchet:</w:t>
      </w:r>
      <w:r>
        <w:t xml:space="preserve"> </w:t>
      </w:r>
      <w:r>
        <w:rPr>
          <w:rStyle w:val="VerbatimChar"/>
        </w:rPr>
        <w:t xml:space="preserve">scripts/thesis_baseline.json</w:t>
      </w:r>
      <w:r>
        <w:t xml:space="preserve"> </w:t>
      </w:r>
      <w:r>
        <w:t xml:space="preserve">records every section, figure and citation, and one may be removed only by</w:t>
      </w:r>
      <w:r>
        <w:t xml:space="preserve"> </w:t>
      </w:r>
      <w:r>
        <w:t xml:space="preserve">rerunning</w:t>
      </w:r>
    </w:p>
    <w:p>
      <w:pPr>
        <w:pStyle w:val="SourceCode"/>
      </w:pPr>
      <w:r>
        <w:rPr>
          <w:rStyle w:val="ExtensionTok"/>
        </w:rPr>
        <w:t xml:space="preserve">python</w:t>
      </w:r>
      <w:r>
        <w:rPr>
          <w:rStyle w:val="NormalTok"/>
        </w:rPr>
        <w:t xml:space="preserve"> scripts/rebaseline_thesis.py </w:t>
      </w:r>
      <w:r>
        <w:rPr>
          <w:rStyle w:val="StringTok"/>
        </w:rPr>
        <w:t xml:space="preserve">"why this changed"</w:t>
      </w:r>
    </w:p>
    <w:p>
      <w:pPr>
        <w:pStyle w:val="FirstParagraph"/>
      </w:pPr>
      <w:r>
        <w:t xml:space="preserve">which refuses to run without the reason.</w:t>
      </w:r>
    </w:p>
    <w:bookmarkEnd w:id="252"/>
    <w:bookmarkStart w:id="253"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53"/>
    <w:bookmarkStart w:id="254"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54"/>
    <w:bookmarkStart w:id="255"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55"/>
    <w:bookmarkStart w:id="256"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56"/>
    <w:bookmarkEnd w:id="257"/>
    <w:bookmarkStart w:id="280"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58"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58"/>
    <w:bookmarkStart w:id="279" w:name="d.2-annotations-with-supporting-evidence"/>
    <w:p>
      <w:pPr>
        <w:pStyle w:val="Heading2"/>
      </w:pPr>
      <w:r>
        <w:t xml:space="preserve">D.2 Annotations with supporting evidence</w:t>
      </w:r>
    </w:p>
    <w:bookmarkStart w:id="259" w:name="d.2.1-10.1056nejmoa2034577"/>
    <w:p>
      <w:pPr>
        <w:pStyle w:val="Heading3"/>
      </w:pPr>
      <w:r>
        <w:t xml:space="preserve">D.2.1</w:t>
      </w:r>
      <w:r>
        <w:t xml:space="preserve"> </w:t>
      </w:r>
      <w:r>
        <w:rPr>
          <w:rStyle w:val="VerbatimChar"/>
        </w:rPr>
        <w:t xml:space="preserve">10.1056/nejmoa2034577</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43548</w:t>
      </w:r>
    </w:p>
    <w:p>
      <w:pPr>
        <w:pStyle w:val="Compact"/>
        <w:numPr>
          <w:ilvl w:val="0"/>
          <w:numId w:val="1016"/>
        </w:numPr>
      </w:pPr>
      <w:r>
        <w:rPr>
          <w:b/>
          <w:bCs/>
        </w:rPr>
        <w:t xml:space="preserve">Gold semantic type:</w:t>
      </w:r>
      <w:r>
        <w:t xml:space="preserve"> </w:t>
      </w:r>
      <w:r>
        <w:t xml:space="preserve">TOTAL_RANDOMIZED</w:t>
      </w:r>
    </w:p>
    <w:p>
      <w:pPr>
        <w:pStyle w:val="Compact"/>
        <w:numPr>
          <w:ilvl w:val="0"/>
          <w:numId w:val="1016"/>
        </w:numPr>
      </w:pPr>
      <w:r>
        <w:rPr>
          <w:b/>
          <w:bCs/>
        </w:rPr>
        <w:t xml:space="preserve">Supporting evidence:</w:t>
      </w:r>
      <w:r>
        <w:t xml:space="preserve"> </w:t>
      </w:r>
      <w:r>
        <w:t xml:space="preserve">A total of 43,548 participants underwent randomization, of whom 43,448 received injections.</w:t>
      </w:r>
    </w:p>
    <w:bookmarkEnd w:id="259"/>
    <w:bookmarkStart w:id="260" w:name="d.2.2-10.1056nejmoa2035389"/>
    <w:p>
      <w:pPr>
        <w:pStyle w:val="Heading3"/>
      </w:pPr>
      <w:r>
        <w:t xml:space="preserve">D.2.2</w:t>
      </w:r>
      <w:r>
        <w:t xml:space="preserve"> </w:t>
      </w:r>
      <w:r>
        <w:rPr>
          <w:rStyle w:val="VerbatimChar"/>
        </w:rPr>
        <w:t xml:space="preserve">10.1056/nejmoa2035389</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30420</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The trial enrolled 30,420 volunteers who were randomly assigned in a 1:1 ratio.</w:t>
      </w:r>
    </w:p>
    <w:bookmarkEnd w:id="260"/>
    <w:bookmarkStart w:id="261" w:name="d.2.3-10.1056nejmoa1911303"/>
    <w:p>
      <w:pPr>
        <w:pStyle w:val="Heading3"/>
      </w:pPr>
      <w:r>
        <w:t xml:space="preserve">D.2.3</w:t>
      </w:r>
      <w:r>
        <w:t xml:space="preserve"> </w:t>
      </w:r>
      <w:r>
        <w:rPr>
          <w:rStyle w:val="VerbatimChar"/>
        </w:rPr>
        <w:t xml:space="preserve">10.1056/nejmoa1911303</w:t>
      </w:r>
    </w:p>
    <w:p>
      <w:pPr>
        <w:pStyle w:val="Compact"/>
        <w:numPr>
          <w:ilvl w:val="0"/>
          <w:numId w:val="1018"/>
        </w:numPr>
      </w:pPr>
      <w:r>
        <w:rPr>
          <w:b/>
          <w:bCs/>
        </w:rPr>
        <w:t xml:space="preserve">Design:</w:t>
      </w:r>
      <w:r>
        <w:t xml:space="preserve"> </w:t>
      </w:r>
      <w:r>
        <w:t xml:space="preserve">rct</w:t>
      </w:r>
    </w:p>
    <w:p>
      <w:pPr>
        <w:pStyle w:val="Compact"/>
        <w:numPr>
          <w:ilvl w:val="0"/>
          <w:numId w:val="1018"/>
        </w:numPr>
      </w:pPr>
      <w:r>
        <w:rPr>
          <w:b/>
          <w:bCs/>
        </w:rPr>
        <w:t xml:space="preserve">Gold n_eff:</w:t>
      </w:r>
      <w:r>
        <w:t xml:space="preserve"> </w:t>
      </w:r>
      <w:r>
        <w:t xml:space="preserve">4744</w:t>
      </w:r>
    </w:p>
    <w:p>
      <w:pPr>
        <w:pStyle w:val="Compact"/>
        <w:numPr>
          <w:ilvl w:val="0"/>
          <w:numId w:val="1018"/>
        </w:numPr>
      </w:pPr>
      <w:r>
        <w:rPr>
          <w:b/>
          <w:bCs/>
        </w:rPr>
        <w:t xml:space="preserve">Gold semantic type:</w:t>
      </w:r>
      <w:r>
        <w:t xml:space="preserve"> </w:t>
      </w:r>
      <w:r>
        <w:t xml:space="preserve">TOTAL_RANDOMIZED</w:t>
      </w:r>
    </w:p>
    <w:p>
      <w:pPr>
        <w:pStyle w:val="Compact"/>
        <w:numPr>
          <w:ilvl w:val="0"/>
          <w:numId w:val="1018"/>
        </w:numPr>
      </w:pPr>
      <w:r>
        <w:rPr>
          <w:b/>
          <w:bCs/>
        </w:rPr>
        <w:t xml:space="preserve">Supporting evidence:</w:t>
      </w:r>
      <w:r>
        <w:t xml:space="preserve"> </w:t>
      </w:r>
      <w:r>
        <w:t xml:space="preserve">we randomly assigned 4744 patients with New York Heart Association class II, III, or IV heart failure</w:t>
      </w:r>
    </w:p>
    <w:bookmarkEnd w:id="261"/>
    <w:bookmarkStart w:id="262" w:name="d.2.4-10.1056nejmoa1812389"/>
    <w:p>
      <w:pPr>
        <w:pStyle w:val="Heading3"/>
      </w:pPr>
      <w:r>
        <w:t xml:space="preserve">D.2.4</w:t>
      </w:r>
      <w:r>
        <w:t xml:space="preserve"> </w:t>
      </w:r>
      <w:r>
        <w:rPr>
          <w:rStyle w:val="VerbatimChar"/>
        </w:rPr>
        <w:t xml:space="preserve">10.1056/nejmoa1812389</w:t>
      </w:r>
    </w:p>
    <w:p>
      <w:pPr>
        <w:pStyle w:val="Compact"/>
        <w:numPr>
          <w:ilvl w:val="0"/>
          <w:numId w:val="1019"/>
        </w:numPr>
      </w:pPr>
      <w:r>
        <w:rPr>
          <w:b/>
          <w:bCs/>
        </w:rPr>
        <w:t xml:space="preserve">Design:</w:t>
      </w:r>
      <w:r>
        <w:t xml:space="preserve"> </w:t>
      </w:r>
      <w:r>
        <w:t xml:space="preserve">rct</w:t>
      </w:r>
    </w:p>
    <w:p>
      <w:pPr>
        <w:pStyle w:val="Compact"/>
        <w:numPr>
          <w:ilvl w:val="0"/>
          <w:numId w:val="1019"/>
        </w:numPr>
      </w:pPr>
      <w:r>
        <w:rPr>
          <w:b/>
          <w:bCs/>
        </w:rPr>
        <w:t xml:space="preserve">Gold n_eff:</w:t>
      </w:r>
      <w:r>
        <w:t xml:space="preserve"> </w:t>
      </w:r>
      <w:r>
        <w:t xml:space="preserve">17160</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We evaluated 17,160 patients, including 10,186 without atherosclerotic cardiovascular disease.</w:t>
      </w:r>
    </w:p>
    <w:bookmarkEnd w:id="262"/>
    <w:bookmarkStart w:id="263" w:name="d.2.5-10.1016s0140-67362031604-4"/>
    <w:p>
      <w:pPr>
        <w:pStyle w:val="Heading3"/>
      </w:pPr>
      <w:r>
        <w:t xml:space="preserve">D.2.5</w:t>
      </w:r>
      <w:r>
        <w:t xml:space="preserve"> </w:t>
      </w:r>
      <w:r>
        <w:rPr>
          <w:rStyle w:val="VerbatimChar"/>
        </w:rPr>
        <w:t xml:space="preserve">10.1016/s0140-6736(20)31604-4</w:t>
      </w:r>
    </w:p>
    <w:p>
      <w:pPr>
        <w:pStyle w:val="Compact"/>
        <w:numPr>
          <w:ilvl w:val="0"/>
          <w:numId w:val="1020"/>
        </w:numPr>
      </w:pPr>
      <w:r>
        <w:rPr>
          <w:b/>
          <w:bCs/>
        </w:rPr>
        <w:t xml:space="preserve">Design:</w:t>
      </w:r>
      <w:r>
        <w:t xml:space="preserve"> </w:t>
      </w:r>
      <w:r>
        <w:t xml:space="preserve">rct</w:t>
      </w:r>
    </w:p>
    <w:p>
      <w:pPr>
        <w:pStyle w:val="Compact"/>
        <w:numPr>
          <w:ilvl w:val="0"/>
          <w:numId w:val="1020"/>
        </w:numPr>
      </w:pPr>
      <w:r>
        <w:rPr>
          <w:b/>
          <w:bCs/>
        </w:rPr>
        <w:t xml:space="preserve">Gold n_eff:</w:t>
      </w:r>
      <w:r>
        <w:t xml:space="preserve"> </w:t>
      </w:r>
      <w:r>
        <w:t xml:space="preserve">1077</w:t>
      </w:r>
    </w:p>
    <w:p>
      <w:pPr>
        <w:pStyle w:val="Compact"/>
        <w:numPr>
          <w:ilvl w:val="0"/>
          <w:numId w:val="1020"/>
        </w:numPr>
      </w:pPr>
      <w:r>
        <w:rPr>
          <w:b/>
          <w:bCs/>
        </w:rPr>
        <w:t xml:space="preserve">Gold semantic type:</w:t>
      </w:r>
      <w:r>
        <w:t xml:space="preserve"> </w:t>
      </w:r>
      <w:r>
        <w:t xml:space="preserve">TOTAL_ENROLLED</w:t>
      </w:r>
    </w:p>
    <w:p>
      <w:pPr>
        <w:pStyle w:val="Compact"/>
        <w:numPr>
          <w:ilvl w:val="0"/>
          <w:numId w:val="1020"/>
        </w:numPr>
      </w:pPr>
      <w:r>
        <w:rPr>
          <w:b/>
          <w:bCs/>
        </w:rPr>
        <w:t xml:space="preserve">Supporting evidence:</w:t>
      </w:r>
      <w:r>
        <w:t xml:space="preserve"> </w:t>
      </w:r>
      <w:r>
        <w:t xml:space="preserve">1077 participants were enrolled and assigned to receive either ChAdOx1 nCoV-19 (n=543) or MenACWY (n=534)</w:t>
      </w:r>
    </w:p>
    <w:bookmarkEnd w:id="263"/>
    <w:bookmarkStart w:id="264" w:name="d.2.6-10.1056nejmoa2002032"/>
    <w:p>
      <w:pPr>
        <w:pStyle w:val="Heading3"/>
      </w:pPr>
      <w:r>
        <w:t xml:space="preserve">D.2.6</w:t>
      </w:r>
      <w:r>
        <w:t xml:space="preserve"> </w:t>
      </w:r>
      <w:r>
        <w:rPr>
          <w:rStyle w:val="VerbatimChar"/>
        </w:rPr>
        <w:t xml:space="preserve">10.1056/nejmoa2002032</w:t>
      </w:r>
    </w:p>
    <w:p>
      <w:pPr>
        <w:pStyle w:val="Compact"/>
        <w:numPr>
          <w:ilvl w:val="0"/>
          <w:numId w:val="1021"/>
        </w:numPr>
      </w:pPr>
      <w:r>
        <w:rPr>
          <w:b/>
          <w:bCs/>
        </w:rPr>
        <w:t xml:space="preserve">Design:</w:t>
      </w:r>
      <w:r>
        <w:t xml:space="preserve"> </w:t>
      </w:r>
      <w:r>
        <w:t xml:space="preserve">cohort</w:t>
      </w:r>
    </w:p>
    <w:p>
      <w:pPr>
        <w:pStyle w:val="Compact"/>
        <w:numPr>
          <w:ilvl w:val="0"/>
          <w:numId w:val="1021"/>
        </w:numPr>
      </w:pPr>
      <w:r>
        <w:rPr>
          <w:b/>
          <w:bCs/>
        </w:rPr>
        <w:t xml:space="preserve">Gold n_eff:</w:t>
      </w:r>
      <w:r>
        <w:t xml:space="preserve"> </w:t>
      </w:r>
      <w:r>
        <w:t xml:space="preserve">1099</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extracted data regarding 1099 patients with laboratory-confirmed Covid-19 from 552 hospitals.</w:t>
      </w:r>
    </w:p>
    <w:bookmarkEnd w:id="264"/>
    <w:bookmarkStart w:id="265" w:name="d.2.7-10.1016s0140-67362030183-5"/>
    <w:p>
      <w:pPr>
        <w:pStyle w:val="Heading3"/>
      </w:pPr>
      <w:r>
        <w:t xml:space="preserve">D.2.7</w:t>
      </w:r>
      <w:r>
        <w:t xml:space="preserve"> </w:t>
      </w:r>
      <w:r>
        <w:rPr>
          <w:rStyle w:val="VerbatimChar"/>
        </w:rPr>
        <w:t xml:space="preserve">10.1016/s0140-6736(20)30183-5</w:t>
      </w:r>
    </w:p>
    <w:p>
      <w:pPr>
        <w:pStyle w:val="Compact"/>
        <w:numPr>
          <w:ilvl w:val="0"/>
          <w:numId w:val="1022"/>
        </w:numPr>
      </w:pPr>
      <w:r>
        <w:rPr>
          <w:b/>
          <w:bCs/>
        </w:rPr>
        <w:t xml:space="preserve">Design:</w:t>
      </w:r>
      <w:r>
        <w:t xml:space="preserve"> </w:t>
      </w:r>
      <w:r>
        <w:t xml:space="preserve">case_series</w:t>
      </w:r>
    </w:p>
    <w:p>
      <w:pPr>
        <w:pStyle w:val="Compact"/>
        <w:numPr>
          <w:ilvl w:val="0"/>
          <w:numId w:val="1022"/>
        </w:numPr>
      </w:pPr>
      <w:r>
        <w:rPr>
          <w:b/>
          <w:bCs/>
        </w:rPr>
        <w:t xml:space="preserve">Gold n_eff:</w:t>
      </w:r>
      <w:r>
        <w:t xml:space="preserve"> </w:t>
      </w:r>
      <w:r>
        <w:t xml:space="preserve">41</w:t>
      </w:r>
    </w:p>
    <w:p>
      <w:pPr>
        <w:pStyle w:val="Compact"/>
        <w:numPr>
          <w:ilvl w:val="0"/>
          <w:numId w:val="1022"/>
        </w:numPr>
      </w:pPr>
      <w:r>
        <w:rPr>
          <w:b/>
          <w:bCs/>
        </w:rPr>
        <w:t xml:space="preserve">Gold semantic type:</w:t>
      </w:r>
      <w:r>
        <w:t xml:space="preserve"> </w:t>
      </w:r>
      <w:r>
        <w:t xml:space="preserve">TOTAL_ANALYZED</w:t>
      </w:r>
    </w:p>
    <w:p>
      <w:pPr>
        <w:pStyle w:val="Compact"/>
        <w:numPr>
          <w:ilvl w:val="0"/>
          <w:numId w:val="1022"/>
        </w:numPr>
      </w:pPr>
      <w:r>
        <w:rPr>
          <w:b/>
          <w:bCs/>
        </w:rPr>
        <w:t xml:space="preserve">Supporting evidence:</w:t>
      </w:r>
      <w:r>
        <w:t xml:space="preserve"> </w:t>
      </w:r>
      <w:r>
        <w:t xml:space="preserve">By Jan 2, 2020, 41 admitted hospital patients had been identified as having laboratory-confirmed 2019-nCoV infection.</w:t>
      </w:r>
    </w:p>
    <w:bookmarkEnd w:id="265"/>
    <w:bookmarkStart w:id="266" w:name="d.2.8-10.1001jama.2020.1585"/>
    <w:p>
      <w:pPr>
        <w:pStyle w:val="Heading3"/>
      </w:pPr>
      <w:r>
        <w:t xml:space="preserve">D.2.8</w:t>
      </w:r>
      <w:r>
        <w:t xml:space="preserve"> </w:t>
      </w:r>
      <w:r>
        <w:rPr>
          <w:rStyle w:val="VerbatimChar"/>
        </w:rPr>
        <w:t xml:space="preserve">10.1001/jama.2020.1585</w:t>
      </w:r>
    </w:p>
    <w:p>
      <w:pPr>
        <w:pStyle w:val="Compact"/>
        <w:numPr>
          <w:ilvl w:val="0"/>
          <w:numId w:val="1023"/>
        </w:numPr>
      </w:pPr>
      <w:r>
        <w:rPr>
          <w:b/>
          <w:bCs/>
        </w:rPr>
        <w:t xml:space="preserve">Design:</w:t>
      </w:r>
      <w:r>
        <w:t xml:space="preserve"> </w:t>
      </w:r>
      <w:r>
        <w:t xml:space="preserve">case_series</w:t>
      </w:r>
    </w:p>
    <w:p>
      <w:pPr>
        <w:pStyle w:val="Compact"/>
        <w:numPr>
          <w:ilvl w:val="0"/>
          <w:numId w:val="1023"/>
        </w:numPr>
      </w:pPr>
      <w:r>
        <w:rPr>
          <w:b/>
          <w:bCs/>
        </w:rPr>
        <w:t xml:space="preserve">Gold n_eff:</w:t>
      </w:r>
      <w:r>
        <w:t xml:space="preserve"> </w:t>
      </w:r>
      <w:r>
        <w:t xml:space="preserve">138</w:t>
      </w:r>
    </w:p>
    <w:p>
      <w:pPr>
        <w:pStyle w:val="Compact"/>
        <w:numPr>
          <w:ilvl w:val="0"/>
          <w:numId w:val="1023"/>
        </w:numPr>
      </w:pPr>
      <w:r>
        <w:rPr>
          <w:b/>
          <w:bCs/>
        </w:rPr>
        <w:t xml:space="preserve">Gold semantic type:</w:t>
      </w:r>
      <w:r>
        <w:t xml:space="preserve"> </w:t>
      </w:r>
      <w:r>
        <w:t xml:space="preserve">TOTAL_ANALYZED</w:t>
      </w:r>
    </w:p>
    <w:p>
      <w:pPr>
        <w:pStyle w:val="Compact"/>
        <w:numPr>
          <w:ilvl w:val="0"/>
          <w:numId w:val="1023"/>
        </w:numPr>
      </w:pPr>
      <w:r>
        <w:rPr>
          <w:b/>
          <w:bCs/>
        </w:rPr>
        <w:t xml:space="preserve">Supporting evidence:</w:t>
      </w:r>
      <w:r>
        <w:t xml:space="preserve"> </w:t>
      </w:r>
      <w:r>
        <w:t xml:space="preserve">Retrospective, single-center case series of the 138 consecutive hospitalized patients with confirmed NCIP.</w:t>
      </w:r>
    </w:p>
    <w:bookmarkEnd w:id="266"/>
    <w:bookmarkStart w:id="267" w:name="d.2.9-10.1056nejmoa2001316"/>
    <w:p>
      <w:pPr>
        <w:pStyle w:val="Heading3"/>
      </w:pPr>
      <w:r>
        <w:t xml:space="preserve">D.2.9</w:t>
      </w:r>
      <w:r>
        <w:t xml:space="preserve"> </w:t>
      </w:r>
      <w:r>
        <w:rPr>
          <w:rStyle w:val="VerbatimChar"/>
        </w:rPr>
        <w:t xml:space="preserve">10.1056/nejmoa2001316</w:t>
      </w:r>
    </w:p>
    <w:p>
      <w:pPr>
        <w:pStyle w:val="Compact"/>
        <w:numPr>
          <w:ilvl w:val="0"/>
          <w:numId w:val="1024"/>
        </w:numPr>
      </w:pPr>
      <w:r>
        <w:rPr>
          <w:b/>
          <w:bCs/>
        </w:rPr>
        <w:t xml:space="preserve">Design:</w:t>
      </w:r>
      <w:r>
        <w:t xml:space="preserve"> </w:t>
      </w:r>
      <w:r>
        <w:t xml:space="preserve">epidemiological</w:t>
      </w:r>
    </w:p>
    <w:p>
      <w:pPr>
        <w:pStyle w:val="Compact"/>
        <w:numPr>
          <w:ilvl w:val="0"/>
          <w:numId w:val="1024"/>
        </w:numPr>
      </w:pPr>
      <w:r>
        <w:rPr>
          <w:b/>
          <w:bCs/>
        </w:rPr>
        <w:t xml:space="preserve">Gold n_eff:</w:t>
      </w:r>
      <w:r>
        <w:t xml:space="preserve"> </w:t>
      </w:r>
      <w:r>
        <w:t xml:space="preserve">425</w:t>
      </w:r>
    </w:p>
    <w:p>
      <w:pPr>
        <w:pStyle w:val="Compact"/>
        <w:numPr>
          <w:ilvl w:val="0"/>
          <w:numId w:val="1024"/>
        </w:numPr>
      </w:pPr>
      <w:r>
        <w:rPr>
          <w:b/>
          <w:bCs/>
        </w:rPr>
        <w:t xml:space="preserve">Gold semantic type:</w:t>
      </w:r>
      <w:r>
        <w:t xml:space="preserve"> </w:t>
      </w:r>
      <w:r>
        <w:t xml:space="preserve">TOTAL_ANALYZED</w:t>
      </w:r>
    </w:p>
    <w:p>
      <w:pPr>
        <w:pStyle w:val="Compact"/>
        <w:numPr>
          <w:ilvl w:val="0"/>
          <w:numId w:val="1024"/>
        </w:numPr>
      </w:pPr>
      <w:r>
        <w:rPr>
          <w:b/>
          <w:bCs/>
        </w:rPr>
        <w:t xml:space="preserve">Supporting evidence:</w:t>
      </w:r>
      <w:r>
        <w:t xml:space="preserve"> </w:t>
      </w:r>
      <w:r>
        <w:t xml:space="preserve">We analyzed data on the first 425 confirmed cases in Wuhan.</w:t>
      </w:r>
    </w:p>
    <w:bookmarkEnd w:id="267"/>
    <w:bookmarkStart w:id="268" w:name="d.2.10-10.1016s2213-26002030079-5"/>
    <w:p>
      <w:pPr>
        <w:pStyle w:val="Heading3"/>
      </w:pPr>
      <w:r>
        <w:t xml:space="preserve">D.2.10</w:t>
      </w:r>
      <w:r>
        <w:t xml:space="preserve"> </w:t>
      </w:r>
      <w:r>
        <w:rPr>
          <w:rStyle w:val="VerbatimChar"/>
        </w:rPr>
        <w:t xml:space="preserve">10.1016/s2213-2600(20)30079-5</w:t>
      </w:r>
    </w:p>
    <w:p>
      <w:pPr>
        <w:pStyle w:val="Compact"/>
        <w:numPr>
          <w:ilvl w:val="0"/>
          <w:numId w:val="1025"/>
        </w:numPr>
      </w:pPr>
      <w:r>
        <w:rPr>
          <w:b/>
          <w:bCs/>
        </w:rPr>
        <w:t xml:space="preserve">Design:</w:t>
      </w:r>
      <w:r>
        <w:t xml:space="preserve"> </w:t>
      </w:r>
      <w:r>
        <w:t xml:space="preserve">cohort</w:t>
      </w:r>
    </w:p>
    <w:p>
      <w:pPr>
        <w:pStyle w:val="Compact"/>
        <w:numPr>
          <w:ilvl w:val="0"/>
          <w:numId w:val="1025"/>
        </w:numPr>
      </w:pPr>
      <w:r>
        <w:rPr>
          <w:b/>
          <w:bCs/>
        </w:rPr>
        <w:t xml:space="preserve">Gold n_eff:</w:t>
      </w:r>
      <w:r>
        <w:t xml:space="preserve"> </w:t>
      </w:r>
      <w:r>
        <w:t xml:space="preserve">52</w:t>
      </w:r>
    </w:p>
    <w:p>
      <w:pPr>
        <w:pStyle w:val="Compact"/>
        <w:numPr>
          <w:ilvl w:val="0"/>
          <w:numId w:val="1025"/>
        </w:numPr>
      </w:pPr>
      <w:r>
        <w:rPr>
          <w:b/>
          <w:bCs/>
        </w:rPr>
        <w:t xml:space="preserve">Gold semantic type:</w:t>
      </w:r>
      <w:r>
        <w:t xml:space="preserve"> </w:t>
      </w:r>
      <w:r>
        <w:t xml:space="preserve">TOTAL_ENROLLED</w:t>
      </w:r>
    </w:p>
    <w:p>
      <w:pPr>
        <w:pStyle w:val="Compact"/>
        <w:numPr>
          <w:ilvl w:val="0"/>
          <w:numId w:val="1025"/>
        </w:numPr>
      </w:pPr>
      <w:r>
        <w:rPr>
          <w:b/>
          <w:bCs/>
        </w:rPr>
        <w:t xml:space="preserve">Supporting evidence:</w:t>
      </w:r>
      <w:r>
        <w:t xml:space="preserve"> </w:t>
      </w:r>
      <w:r>
        <w:t xml:space="preserve">we enrolled 52 critically ill adult patients with SARS-CoV-2 pneumonia.</w:t>
      </w:r>
    </w:p>
    <w:bookmarkEnd w:id="268"/>
    <w:bookmarkStart w:id="269" w:name="d.2.11-10.1016s1473-30992030243-7"/>
    <w:p>
      <w:pPr>
        <w:pStyle w:val="Heading3"/>
      </w:pPr>
      <w:r>
        <w:t xml:space="preserve">D.2.11</w:t>
      </w:r>
      <w:r>
        <w:t xml:space="preserve"> </w:t>
      </w:r>
      <w:r>
        <w:rPr>
          <w:rStyle w:val="VerbatimChar"/>
        </w:rPr>
        <w:t xml:space="preserve">10.1016/s1473-3099(20)30243-7</w:t>
      </w:r>
    </w:p>
    <w:p>
      <w:pPr>
        <w:pStyle w:val="Compact"/>
        <w:numPr>
          <w:ilvl w:val="0"/>
          <w:numId w:val="1026"/>
        </w:numPr>
      </w:pPr>
      <w:r>
        <w:rPr>
          <w:b/>
          <w:bCs/>
        </w:rPr>
        <w:t xml:space="preserve">Design:</w:t>
      </w:r>
      <w:r>
        <w:t xml:space="preserve"> </w:t>
      </w:r>
      <w:r>
        <w:t xml:space="preserve">modelling</w:t>
      </w:r>
    </w:p>
    <w:p>
      <w:pPr>
        <w:pStyle w:val="Compact"/>
        <w:numPr>
          <w:ilvl w:val="0"/>
          <w:numId w:val="1026"/>
        </w:numPr>
      </w:pPr>
      <w:r>
        <w:rPr>
          <w:b/>
          <w:bCs/>
        </w:rPr>
        <w:t xml:space="preserve">Gold n_eff:</w:t>
      </w:r>
      <w:r>
        <w:t xml:space="preserve"> </w:t>
      </w:r>
      <w:r>
        <w:t xml:space="preserve">1334</w:t>
      </w:r>
    </w:p>
    <w:p>
      <w:pPr>
        <w:pStyle w:val="Compact"/>
        <w:numPr>
          <w:ilvl w:val="0"/>
          <w:numId w:val="1026"/>
        </w:numPr>
      </w:pPr>
      <w:r>
        <w:rPr>
          <w:b/>
          <w:bCs/>
        </w:rPr>
        <w:t xml:space="preserve">Gold semantic type:</w:t>
      </w:r>
      <w:r>
        <w:t xml:space="preserve"> </w:t>
      </w:r>
      <w:r>
        <w:t xml:space="preserve">SAMPLE_SIZE_GENERIC</w:t>
      </w:r>
    </w:p>
    <w:p>
      <w:pPr>
        <w:pStyle w:val="Compact"/>
        <w:numPr>
          <w:ilvl w:val="0"/>
          <w:numId w:val="1026"/>
        </w:numPr>
      </w:pPr>
      <w:r>
        <w:rPr>
          <w:b/>
          <w:bCs/>
        </w:rPr>
        <w:t xml:space="preserve">Supporting evidence:</w:t>
      </w:r>
      <w:r>
        <w:t xml:space="preserve"> </w:t>
      </w:r>
      <w:r>
        <w:t xml:space="preserve">We also estimated the case fatality ratio from individual line-list data on 1334 cases identified outside of mainland China.</w:t>
      </w:r>
    </w:p>
    <w:bookmarkEnd w:id="269"/>
    <w:bookmarkStart w:id="270" w:name="d.2.12-10.1056nejmoa2001017"/>
    <w:p>
      <w:pPr>
        <w:pStyle w:val="Heading3"/>
      </w:pPr>
      <w:r>
        <w:t xml:space="preserve">D.2.12</w:t>
      </w:r>
      <w:r>
        <w:t xml:space="preserve"> </w:t>
      </w:r>
      <w:r>
        <w:rPr>
          <w:rStyle w:val="VerbatimChar"/>
        </w:rPr>
        <w:t xml:space="preserve">10.1056/nejmoa2001017</w:t>
      </w:r>
    </w:p>
    <w:p>
      <w:pPr>
        <w:pStyle w:val="Compact"/>
        <w:numPr>
          <w:ilvl w:val="0"/>
          <w:numId w:val="1027"/>
        </w:numPr>
      </w:pPr>
      <w:r>
        <w:rPr>
          <w:b/>
          <w:bCs/>
        </w:rPr>
        <w:t xml:space="preserve">Design:</w:t>
      </w:r>
      <w:r>
        <w:t xml:space="preserve"> </w:t>
      </w:r>
      <w:r>
        <w:t xml:space="preserve">virus_characterisation</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Abstract describes isolation of a novel betacoronavirus; no study population size is stated.</w:t>
      </w:r>
    </w:p>
    <w:bookmarkEnd w:id="270"/>
    <w:bookmarkStart w:id="271" w:name="d.2.13-10.1038s41586-020-2012-7"/>
    <w:p>
      <w:pPr>
        <w:pStyle w:val="Heading3"/>
      </w:pPr>
      <w:r>
        <w:t xml:space="preserve">D.2.13</w:t>
      </w:r>
      <w:r>
        <w:t xml:space="preserve"> </w:t>
      </w:r>
      <w:r>
        <w:rPr>
          <w:rStyle w:val="VerbatimChar"/>
        </w:rPr>
        <w:t xml:space="preserve">10.1038/s41586-020-2012-7</w:t>
      </w:r>
    </w:p>
    <w:p>
      <w:pPr>
        <w:pStyle w:val="Compact"/>
        <w:numPr>
          <w:ilvl w:val="0"/>
          <w:numId w:val="1028"/>
        </w:numPr>
      </w:pPr>
      <w:r>
        <w:rPr>
          <w:b/>
          <w:bCs/>
        </w:rPr>
        <w:t xml:space="preserve">Design:</w:t>
      </w:r>
      <w:r>
        <w:t xml:space="preserve"> </w:t>
      </w:r>
      <w:r>
        <w:t xml:space="preserve">virus_characterisation</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HARD NEGATIVE: '2,794 laboratory-confirmed infections including 80 deaths' is an epidemic tally, not this study's sample.</w:t>
      </w:r>
    </w:p>
    <w:bookmarkEnd w:id="271"/>
    <w:bookmarkStart w:id="272" w:name="d.2.14-10.1136bmj.m1328"/>
    <w:p>
      <w:pPr>
        <w:pStyle w:val="Heading3"/>
      </w:pPr>
      <w:r>
        <w:t xml:space="preserve">D.2.14</w:t>
      </w:r>
      <w:r>
        <w:t xml:space="preserve"> </w:t>
      </w:r>
      <w:r>
        <w:rPr>
          <w:rStyle w:val="VerbatimChar"/>
        </w:rPr>
        <w:t xml:space="preserve">10.1136/bmj.m1328</w:t>
      </w:r>
    </w:p>
    <w:p>
      <w:pPr>
        <w:pStyle w:val="Compact"/>
        <w:numPr>
          <w:ilvl w:val="0"/>
          <w:numId w:val="1029"/>
        </w:numPr>
      </w:pPr>
      <w:r>
        <w:rPr>
          <w:b/>
          <w:bCs/>
        </w:rPr>
        <w:t xml:space="preserve">Design:</w:t>
      </w:r>
      <w:r>
        <w:t xml:space="preserve"> </w:t>
      </w:r>
      <w:r>
        <w:t xml:space="preserve">systematic_review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HARD NEGATIVE: a systematic review of prediction models; its units are studies, not patients.</w:t>
      </w:r>
    </w:p>
    <w:bookmarkEnd w:id="272"/>
    <w:bookmarkStart w:id="273" w:name="d.2.15-10.1038s41577-020-0311-8"/>
    <w:p>
      <w:pPr>
        <w:pStyle w:val="Heading3"/>
      </w:pPr>
      <w:r>
        <w:t xml:space="preserve">D.2.15</w:t>
      </w:r>
      <w:r>
        <w:t xml:space="preserve"> </w:t>
      </w:r>
      <w:r>
        <w:rPr>
          <w:rStyle w:val="VerbatimChar"/>
        </w:rPr>
        <w:t xml:space="preserve">10.1038/s41577-020-0311-8</w:t>
      </w:r>
    </w:p>
    <w:p>
      <w:pPr>
        <w:pStyle w:val="Compact"/>
        <w:numPr>
          <w:ilvl w:val="0"/>
          <w:numId w:val="1030"/>
        </w:numPr>
      </w:pPr>
      <w:r>
        <w:rPr>
          <w:b/>
          <w:bCs/>
        </w:rPr>
        <w:t xml:space="preserve">Design:</w:t>
      </w:r>
      <w:r>
        <w:t xml:space="preserve"> </w:t>
      </w:r>
      <w:r>
        <w:t xml:space="preserve">review</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Narrative review of COVID-19 immunology; no study population.</w:t>
      </w:r>
    </w:p>
    <w:bookmarkEnd w:id="273"/>
    <w:bookmarkStart w:id="274" w:name="d.2.16-10.1164rccm.201908-1581st"/>
    <w:p>
      <w:pPr>
        <w:pStyle w:val="Heading3"/>
      </w:pPr>
      <w:r>
        <w:t xml:space="preserve">D.2.16</w:t>
      </w:r>
      <w:r>
        <w:t xml:space="preserve"> </w:t>
      </w:r>
      <w:r>
        <w:rPr>
          <w:rStyle w:val="VerbatimChar"/>
        </w:rPr>
        <w:t xml:space="preserve">10.1164/rccm.201908-1581st</w:t>
      </w:r>
    </w:p>
    <w:p>
      <w:pPr>
        <w:pStyle w:val="Compact"/>
        <w:numPr>
          <w:ilvl w:val="0"/>
          <w:numId w:val="1031"/>
        </w:numPr>
      </w:pPr>
      <w:r>
        <w:rPr>
          <w:b/>
          <w:bCs/>
        </w:rPr>
        <w:t xml:space="preserve">Design:</w:t>
      </w:r>
      <w:r>
        <w:t xml:space="preserve"> </w:t>
      </w:r>
      <w:r>
        <w:t xml:space="preserve">guideline</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Clinical practice guideline; no study population.</w:t>
      </w:r>
    </w:p>
    <w:bookmarkEnd w:id="274"/>
    <w:bookmarkStart w:id="275" w:name="d.2.17-10.1056nejmra2026131"/>
    <w:p>
      <w:pPr>
        <w:pStyle w:val="Heading3"/>
      </w:pPr>
      <w:r>
        <w:t xml:space="preserve">D.2.17</w:t>
      </w:r>
      <w:r>
        <w:t xml:space="preserve"> </w:t>
      </w:r>
      <w:r>
        <w:rPr>
          <w:rStyle w:val="VerbatimChar"/>
        </w:rPr>
        <w:t xml:space="preserve">10.1056/nejmra2026131</w:t>
      </w:r>
    </w:p>
    <w:p>
      <w:pPr>
        <w:pStyle w:val="Compact"/>
        <w:numPr>
          <w:ilvl w:val="0"/>
          <w:numId w:val="1032"/>
        </w:numPr>
      </w:pPr>
      <w:r>
        <w:rPr>
          <w:b/>
          <w:bCs/>
        </w:rPr>
        <w:t xml:space="preserve">Design:</w:t>
      </w:r>
      <w:r>
        <w:t xml:space="preserve"> </w:t>
      </w:r>
      <w:r>
        <w:t xml:space="preserve">review</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Review article on cytokine storm; no study population.</w:t>
      </w:r>
    </w:p>
    <w:bookmarkEnd w:id="275"/>
    <w:bookmarkStart w:id="276" w:name="d.2.18-10.1038s41586-021-03819-2"/>
    <w:p>
      <w:pPr>
        <w:pStyle w:val="Heading3"/>
      </w:pPr>
      <w:r>
        <w:t xml:space="preserve">D.2.18</w:t>
      </w:r>
      <w:r>
        <w:t xml:space="preserve"> </w:t>
      </w:r>
      <w:r>
        <w:rPr>
          <w:rStyle w:val="VerbatimChar"/>
        </w:rPr>
        <w:t xml:space="preserve">10.1038/s41586-021-03819-2</w:t>
      </w:r>
    </w:p>
    <w:p>
      <w:pPr>
        <w:pStyle w:val="Compact"/>
        <w:numPr>
          <w:ilvl w:val="0"/>
          <w:numId w:val="1033"/>
        </w:numPr>
      </w:pPr>
      <w:r>
        <w:rPr>
          <w:b/>
          <w:bCs/>
        </w:rPr>
        <w:t xml:space="preserve">Design:</w:t>
      </w:r>
      <w:r>
        <w:t xml:space="preserve"> </w:t>
      </w:r>
      <w:r>
        <w:t xml:space="preserve">computational</w:t>
      </w:r>
    </w:p>
    <w:p>
      <w:pPr>
        <w:pStyle w:val="Compact"/>
        <w:numPr>
          <w:ilvl w:val="0"/>
          <w:numId w:val="1033"/>
        </w:numPr>
      </w:pPr>
      <w:r>
        <w:rPr>
          <w:b/>
          <w:bCs/>
        </w:rPr>
        <w:t xml:space="preserve">Gold n_eff:</w:t>
      </w:r>
      <w:r>
        <w:t xml:space="preserve"> </w:t>
      </w:r>
      <w:r>
        <w:t xml:space="preserve">none (negative case)</w:t>
      </w:r>
    </w:p>
    <w:p>
      <w:pPr>
        <w:pStyle w:val="Compact"/>
        <w:numPr>
          <w:ilvl w:val="0"/>
          <w:numId w:val="1033"/>
        </w:numPr>
      </w:pPr>
      <w:r>
        <w:rPr>
          <w:b/>
          <w:bCs/>
        </w:rPr>
        <w:t xml:space="preserve">Gold semantic type:</w:t>
      </w:r>
      <w:r>
        <w:t xml:space="preserve"> </w:t>
      </w:r>
      <w:r>
        <w:t xml:space="preserve">n/a</w:t>
      </w:r>
    </w:p>
    <w:p>
      <w:pPr>
        <w:pStyle w:val="Compact"/>
        <w:numPr>
          <w:ilvl w:val="0"/>
          <w:numId w:val="1033"/>
        </w:numPr>
      </w:pPr>
      <w:r>
        <w:rPr>
          <w:b/>
          <w:bCs/>
        </w:rPr>
        <w:t xml:space="preserve">Supporting evidence:</w:t>
      </w:r>
      <w:r>
        <w:t xml:space="preserve"> </w:t>
      </w:r>
      <w:r>
        <w:t xml:space="preserve">HARD NEGATIVE: protein-structure prediction; CASP14 target counts are not human subjects.</w:t>
      </w:r>
    </w:p>
    <w:bookmarkEnd w:id="276"/>
    <w:bookmarkStart w:id="277" w:name="d.2.19-10.1038nature14539"/>
    <w:p>
      <w:pPr>
        <w:pStyle w:val="Heading3"/>
      </w:pPr>
      <w:r>
        <w:t xml:space="preserve">D.2.19</w:t>
      </w:r>
      <w:r>
        <w:t xml:space="preserve"> </w:t>
      </w:r>
      <w:r>
        <w:rPr>
          <w:rStyle w:val="VerbatimChar"/>
        </w:rPr>
        <w:t xml:space="preserve">10.1038/nature14539</w:t>
      </w:r>
    </w:p>
    <w:p>
      <w:pPr>
        <w:pStyle w:val="Compact"/>
        <w:numPr>
          <w:ilvl w:val="0"/>
          <w:numId w:val="1034"/>
        </w:numPr>
      </w:pPr>
      <w:r>
        <w:rPr>
          <w:b/>
          <w:bCs/>
        </w:rPr>
        <w:t xml:space="preserve">Design:</w:t>
      </w:r>
      <w:r>
        <w:t xml:space="preserve"> </w:t>
      </w:r>
      <w:r>
        <w:t xml:space="preserve">review</w:t>
      </w:r>
    </w:p>
    <w:p>
      <w:pPr>
        <w:pStyle w:val="Compact"/>
        <w:numPr>
          <w:ilvl w:val="0"/>
          <w:numId w:val="1034"/>
        </w:numPr>
      </w:pPr>
      <w:r>
        <w:rPr>
          <w:b/>
          <w:bCs/>
        </w:rPr>
        <w:t xml:space="preserve">Gold n_eff:</w:t>
      </w:r>
      <w:r>
        <w:t xml:space="preserve"> </w:t>
      </w:r>
      <w:r>
        <w:t xml:space="preserve">none (negative case)</w:t>
      </w:r>
    </w:p>
    <w:p>
      <w:pPr>
        <w:pStyle w:val="Compact"/>
        <w:numPr>
          <w:ilvl w:val="0"/>
          <w:numId w:val="1034"/>
        </w:numPr>
      </w:pPr>
      <w:r>
        <w:rPr>
          <w:b/>
          <w:bCs/>
        </w:rPr>
        <w:t xml:space="preserve">Gold semantic type:</w:t>
      </w:r>
      <w:r>
        <w:t xml:space="preserve"> </w:t>
      </w:r>
      <w:r>
        <w:t xml:space="preserve">n/a</w:t>
      </w:r>
    </w:p>
    <w:p>
      <w:pPr>
        <w:pStyle w:val="Compact"/>
        <w:numPr>
          <w:ilvl w:val="0"/>
          <w:numId w:val="1034"/>
        </w:numPr>
      </w:pPr>
      <w:r>
        <w:rPr>
          <w:b/>
          <w:bCs/>
        </w:rPr>
        <w:t xml:space="preserve">Supporting evidence:</w:t>
      </w:r>
      <w:r>
        <w:t xml:space="preserve"> </w:t>
      </w:r>
      <w:r>
        <w:t xml:space="preserve">Review of deep learning; no study population.</w:t>
      </w:r>
    </w:p>
    <w:bookmarkEnd w:id="277"/>
    <w:bookmarkStart w:id="278" w:name="d.2.20-10.11453065386"/>
    <w:p>
      <w:pPr>
        <w:pStyle w:val="Heading3"/>
      </w:pPr>
      <w:r>
        <w:t xml:space="preserve">D.2.20</w:t>
      </w:r>
      <w:r>
        <w:t xml:space="preserve"> </w:t>
      </w:r>
      <w:r>
        <w:rPr>
          <w:rStyle w:val="VerbatimChar"/>
        </w:rPr>
        <w:t xml:space="preserve">10.1145/3065386</w:t>
      </w:r>
    </w:p>
    <w:p>
      <w:pPr>
        <w:pStyle w:val="Compact"/>
        <w:numPr>
          <w:ilvl w:val="0"/>
          <w:numId w:val="1035"/>
        </w:numPr>
      </w:pPr>
      <w:r>
        <w:rPr>
          <w:b/>
          <w:bCs/>
        </w:rPr>
        <w:t xml:space="preserve">Design:</w:t>
      </w:r>
      <w:r>
        <w:t xml:space="preserve"> </w:t>
      </w:r>
      <w:r>
        <w:t xml:space="preserve">computational</w:t>
      </w:r>
    </w:p>
    <w:p>
      <w:pPr>
        <w:pStyle w:val="Compact"/>
        <w:numPr>
          <w:ilvl w:val="0"/>
          <w:numId w:val="1035"/>
        </w:numPr>
      </w:pPr>
      <w:r>
        <w:rPr>
          <w:b/>
          <w:bCs/>
        </w:rPr>
        <w:t xml:space="preserve">Gold n_eff:</w:t>
      </w:r>
      <w:r>
        <w:t xml:space="preserve"> </w:t>
      </w:r>
      <w:r>
        <w:t xml:space="preserve">none (negative case)</w:t>
      </w:r>
    </w:p>
    <w:p>
      <w:pPr>
        <w:pStyle w:val="Compact"/>
        <w:numPr>
          <w:ilvl w:val="0"/>
          <w:numId w:val="1035"/>
        </w:numPr>
      </w:pPr>
      <w:r>
        <w:rPr>
          <w:b/>
          <w:bCs/>
        </w:rPr>
        <w:t xml:space="preserve">Gold semantic type:</w:t>
      </w:r>
      <w:r>
        <w:t xml:space="preserve"> </w:t>
      </w:r>
      <w:r>
        <w:t xml:space="preserve">n/a</w:t>
      </w:r>
    </w:p>
    <w:p>
      <w:pPr>
        <w:pStyle w:val="Compact"/>
        <w:numPr>
          <w:ilvl w:val="0"/>
          <w:numId w:val="1035"/>
        </w:numPr>
      </w:pPr>
      <w:r>
        <w:rPr>
          <w:b/>
          <w:bCs/>
        </w:rPr>
        <w:t xml:space="preserve">Supporting evidence:</w:t>
      </w:r>
      <w:r>
        <w:t xml:space="preserve"> </w:t>
      </w:r>
      <w:r>
        <w:t xml:space="preserve">HARD NEGATIVE: '1.2 million high-resolution images' is a dataset size, not a human study population.</w:t>
      </w:r>
    </w:p>
    <w:bookmarkEnd w:id="278"/>
    <w:bookmarkEnd w:id="279"/>
    <w:bookmarkEnd w:id="280"/>
    <w:bookmarkStart w:id="285"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81"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81"/>
    <w:bookmarkStart w:id="282"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82"/>
    <w:bookmarkStart w:id="283"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83"/>
    <w:bookmarkStart w:id="284"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84"/>
    <w:bookmarkEnd w:id="285"/>
    <w:bookmarkStart w:id="291" w:name="X9f57483ed5b2f82fbb3fee302540650aea30fed"/>
    <w:p>
      <w:pPr>
        <w:pStyle w:val="Heading1"/>
      </w:pPr>
      <w:r>
        <w:t xml:space="preserve">Appendix F: Test Suite and Verification Inventory</w:t>
      </w:r>
    </w:p>
    <w:bookmarkStart w:id="286" w:name="f.1-composition"/>
    <w:p>
      <w:pPr>
        <w:pStyle w:val="Heading2"/>
      </w:pPr>
      <w:r>
        <w:t xml:space="preserve">F.1 Composition</w:t>
      </w:r>
    </w:p>
    <w:p>
      <w:pPr>
        <w:pStyle w:val="FirstParagraph"/>
      </w:pPr>
      <w:r>
        <w:t xml:space="preserve">273 automated tests across 25 files. All external HTTP is intercepted at</w:t>
      </w:r>
      <w:r>
        <w:t xml:space="preserve"> </w:t>
      </w:r>
      <w:r>
        <w:t xml:space="preserve">transport level by</w:t>
      </w:r>
      <w:r>
        <w:t xml:space="preserve"> </w:t>
      </w:r>
      <w:r>
        <w:rPr>
          <w:rStyle w:val="VerbatimChar"/>
        </w:rPr>
        <w:t xml:space="preserve">respx</w:t>
      </w:r>
      <w:r>
        <w:t xml:space="preserve"> </w:t>
      </w:r>
      <w:r>
        <w:t xml:space="preserve">or replaced with test doubles, so the suite requires</w:t>
      </w:r>
      <w:r>
        <w:t xml:space="preserve"> </w:t>
      </w:r>
      <w:r>
        <w:t xml:space="preserve">no network access and no API credentials, and completes in roughly 15 to 40</w:t>
      </w:r>
      <w:r>
        <w:t xml:space="preserve"> </w:t>
      </w:r>
      <w:r>
        <w:t xml:space="preserve">seconds.</w:t>
      </w:r>
    </w:p>
    <w:p>
      <w:pPr>
        <w:pStyle w:val="BodyText"/>
      </w:pPr>
      <w:r>
        <w:t xml:space="preserve">Thirteen of the 25 files are behaviour tests: they assert that the system does</w:t>
      </w:r>
      <w:r>
        <w:t xml:space="preserve"> </w:t>
      </w:r>
      <w:r>
        <w:t xml:space="preserve">something. The other twelve are guards, and they assert that a check still works.</w:t>
      </w:r>
      <w:r>
        <w:t xml:space="preserve"> </w:t>
      </w:r>
      <w:r>
        <w:rPr>
          <w:rStyle w:val="VerbatimChar"/>
        </w:rPr>
        <w:t xml:space="preserve">guards/LEDGER.md</w:t>
      </w:r>
      <w:r>
        <w:t xml:space="preserve"> </w:t>
      </w:r>
      <w:r>
        <w:t xml:space="preserve">records all 95 guard families catalogued from another project,</w:t>
      </w:r>
      <w:r>
        <w:t xml:space="preserve"> </w:t>
      </w:r>
      <w:r>
        <w:t xml:space="preserve">what happened to each one here, and why 33 were refused rather than ported.</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73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test_query_detection.py</w:t>
            </w:r>
          </w:p>
        </w:tc>
        <w:tc>
          <w:tcPr/>
          <w:p>
            <w:pPr>
              <w:pStyle w:val="Compact"/>
              <w:jc w:val="right"/>
            </w:pPr>
            <w:r>
              <w:t xml:space="preserve">34</w:t>
            </w:r>
          </w:p>
        </w:tc>
        <w:tc>
          <w:tcPr/>
          <w:p>
            <w:pPr>
              <w:pStyle w:val="Compact"/>
            </w:pPr>
            <w:r>
              <w:t xml:space="preserve">Identifier auto-detection and the title matching behind run ac66eb9e</w:t>
            </w:r>
          </w:p>
        </w:tc>
      </w:tr>
      <w:tr>
        <w:tc>
          <w:tcPr/>
          <w:p>
            <w:pPr>
              <w:pStyle w:val="Compact"/>
            </w:pPr>
            <w:r>
              <w:rPr>
                <w:rStyle w:val="VerbatimChar"/>
              </w:rPr>
              <w:t xml:space="preserve">test_the_thesis_does_not_drift.py</w:t>
            </w:r>
          </w:p>
        </w:tc>
        <w:tc>
          <w:tcPr/>
          <w:p>
            <w:pPr>
              <w:pStyle w:val="Compact"/>
              <w:jc w:val="right"/>
            </w:pPr>
            <w:r>
              <w:t xml:space="preserve">20</w:t>
            </w:r>
          </w:p>
        </w:tc>
        <w:tc>
          <w:tcPr/>
          <w:p>
            <w:pPr>
              <w:pStyle w:val="Compact"/>
            </w:pPr>
            <w:r>
              <w:t xml:space="preserve">This thesis against its evidence, its figures, its PDFs and its baseline (Section C.5)</w:t>
            </w:r>
          </w:p>
        </w:tc>
      </w:tr>
      <w:tr>
        <w:tc>
          <w:tcPr/>
          <w:p>
            <w:pPr>
              <w:pStyle w:val="Compact"/>
            </w:pPr>
            <w:r>
              <w:rPr>
                <w:rStyle w:val="VerbatimChar"/>
              </w:rPr>
              <w:t xml:space="preserve">test_flow_diagram.py</w:t>
            </w:r>
          </w:p>
        </w:tc>
        <w:tc>
          <w:tcPr/>
          <w:p>
            <w:pPr>
              <w:pStyle w:val="Compact"/>
              <w:jc w:val="right"/>
            </w:pPr>
            <w:r>
              <w:t xml:space="preserve">18</w:t>
            </w:r>
          </w:p>
        </w:tc>
        <w:tc>
          <w:tcPr/>
          <w:p>
            <w:pPr>
              <w:pStyle w:val="Compact"/>
            </w:pPr>
            <w:r>
              <w:t xml:space="preserve">Stage and layout rules of the flow-diagram reader (Section 6.14)</w:t>
            </w:r>
          </w:p>
        </w:tc>
      </w:tr>
      <w:tr>
        <w:tc>
          <w:tcPr/>
          <w:p>
            <w:pPr>
              <w:pStyle w:val="Compact"/>
            </w:pPr>
            <w:r>
              <w:rPr>
                <w:rStyle w:val="VerbatimChar"/>
              </w:rPr>
              <w:t xml:space="preserve">test_technical_evidence.py</w:t>
            </w:r>
          </w:p>
        </w:tc>
        <w:tc>
          <w:tcPr/>
          <w:p>
            <w:pPr>
              <w:pStyle w:val="Compact"/>
              <w:jc w:val="right"/>
            </w:pPr>
            <w:r>
              <w:t xml:space="preserve">12</w:t>
            </w:r>
          </w:p>
        </w:tc>
        <w:tc>
          <w:tcPr/>
          <w:p>
            <w:pPr>
              <w:pStyle w:val="Compact"/>
            </w:pPr>
            <w:r>
              <w:t xml:space="preserve">Research-field detection, arXiv links and dataset-size extraction</w:t>
            </w:r>
          </w:p>
        </w:tc>
      </w:tr>
      <w:tr>
        <w:tc>
          <w:tcPr/>
          <w:p>
            <w:pPr>
              <w:pStyle w:val="Compact"/>
            </w:pPr>
            <w:r>
              <w:rPr>
                <w:rStyle w:val="VerbatimChar"/>
              </w:rPr>
              <w:t xml:space="preserve">test_the_config_refuses_every_problem_at_once.py</w:t>
            </w:r>
          </w:p>
        </w:tc>
        <w:tc>
          <w:tcPr/>
          <w:p>
            <w:pPr>
              <w:pStyle w:val="Compact"/>
              <w:jc w:val="right"/>
            </w:pPr>
            <w:r>
              <w:t xml:space="preserve">11</w:t>
            </w:r>
          </w:p>
        </w:tc>
        <w:tc>
          <w:tcPr/>
          <w:p>
            <w:pPr>
              <w:pStyle w:val="Compact"/>
            </w:pPr>
            <w:r>
              <w:t xml:space="preserve">Configuration faults gathered in one pass; production refuses a wildcard CORS origin, an empty origin list, a Neo4j profile with a placeholder password, and a key that is set but too short. The deployed values must start, and the open API is reported</w:t>
            </w:r>
          </w:p>
        </w:tc>
      </w:tr>
      <w:tr>
        <w:tc>
          <w:tcPr/>
          <w:p>
            <w:pPr>
              <w:pStyle w:val="Compact"/>
            </w:pPr>
            <w:r>
              <w:rPr>
                <w:rStyle w:val="VerbatimChar"/>
              </w:rPr>
              <w:t xml:space="preserve">test_the_documented_response_fields_are_the_fields_the_api_returns.py</w:t>
            </w:r>
          </w:p>
        </w:tc>
        <w:tc>
          <w:tcPr/>
          <w:p>
            <w:pPr>
              <w:pStyle w:val="Compact"/>
              <w:jc w:val="right"/>
            </w:pPr>
            <w:r>
              <w:t xml:space="preserve">8</w:t>
            </w:r>
          </w:p>
        </w:tc>
        <w:tc>
          <w:tcPr/>
          <w:p>
            <w:pPr>
              <w:pStyle w:val="Compact"/>
            </w:pPr>
            <w:r>
              <w:t xml:space="preserve">The documented field tables against the Pydantic models, both directions, and every route against the documents that name it</w:t>
            </w:r>
          </w:p>
        </w:tc>
      </w:tr>
      <w:tr>
        <w:tc>
          <w:tcPr/>
          <w:p>
            <w:pPr>
              <w:pStyle w:val="Compact"/>
            </w:pPr>
            <w:r>
              <w:rPr>
                <w:rStyle w:val="VerbatimChar"/>
              </w:rPr>
              <w:t xml:space="preserve">test_no_secret_is_committed_to_this_tree.py</w:t>
            </w:r>
          </w:p>
        </w:tc>
        <w:tc>
          <w:tcPr/>
          <w:p>
            <w:pPr>
              <w:pStyle w:val="Compact"/>
              <w:jc w:val="right"/>
            </w:pPr>
            <w:r>
              <w:t xml:space="preserve">8</w:t>
            </w:r>
          </w:p>
        </w:tc>
        <w:tc>
          <w:tcPr/>
          <w:p>
            <w:pPr>
              <w:pStyle w:val="Compact"/>
            </w:pPr>
            <w:r>
              <w:t xml:space="preserve">Credential shapes, each driven by a planted sample; a real contact address in a template; the</w:t>
            </w:r>
            <w:r>
              <w:t xml:space="preserve"> </w:t>
            </w:r>
            <w:r>
              <w:rPr>
                <w:rStyle w:val="VerbatimChar"/>
              </w:rPr>
              <w:t xml:space="preserve">.env.example</w:t>
            </w:r>
            <w:r>
              <w:t xml:space="preserve">/</w:t>
            </w:r>
            <w:r>
              <w:rPr>
                <w:rStyle w:val="VerbatimChar"/>
              </w:rPr>
              <w:t xml:space="preserve">Settings</w:t>
            </w:r>
            <w:r>
              <w:t xml:space="preserve"> </w:t>
            </w:r>
            <w:r>
              <w:t xml:space="preserve">contract</w:t>
            </w:r>
          </w:p>
        </w:tc>
      </w:tr>
      <w:tr>
        <w:tc>
          <w:tcPr/>
          <w:p>
            <w:pPr>
              <w:pStyle w:val="Compact"/>
            </w:pPr>
            <w:r>
              <w:rPr>
                <w:rStyle w:val="VerbatimChar"/>
              </w:rPr>
              <w:t xml:space="preserve">test_the_guard_ledger_matches_what_is_on_disk.py</w:t>
            </w:r>
          </w:p>
        </w:tc>
        <w:tc>
          <w:tcPr/>
          <w:p>
            <w:pPr>
              <w:pStyle w:val="Compact"/>
              <w:jc w:val="right"/>
            </w:pPr>
            <w:r>
              <w:t xml:space="preserve">6</w:t>
            </w:r>
          </w:p>
        </w:tc>
        <w:tc>
          <w:tcPr/>
          <w:p>
            <w:pPr>
              <w:pStyle w:val="Compact"/>
            </w:pPr>
            <w:r>
              <w:t xml:space="preserve">All 95 catalogued families accounted for, every guard on disk classified, the generated table current</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test_the_ci_workflows_have_no_path_filters_and_one_always_runs.py</w:t>
            </w:r>
          </w:p>
        </w:tc>
        <w:tc>
          <w:tcPr/>
          <w:p>
            <w:pPr>
              <w:pStyle w:val="Compact"/>
              <w:jc w:val="right"/>
            </w:pPr>
            <w:r>
              <w:t xml:space="preserve">8</w:t>
            </w:r>
          </w:p>
        </w:tc>
        <w:tc>
          <w:tcPr/>
          <w:p>
            <w:pPr>
              <w:pStyle w:val="Compact"/>
            </w:pPr>
            <w:r>
              <w:t xml:space="preserve">No path filter on a workflow that runs checks, one always-running job, full-history checkout, each deploy exemption still needed, and no variable the deploy sends to the box that it does not pass</w:t>
            </w:r>
          </w:p>
        </w:tc>
      </w:tr>
      <w:tr>
        <w:tc>
          <w:tcPr/>
          <w:p>
            <w:pPr>
              <w:pStyle w:val="Compact"/>
            </w:pPr>
            <w:r>
              <w:rPr>
                <w:rStyle w:val="VerbatimChar"/>
              </w:rPr>
              <w:t xml:space="preserve">test_the_test_job_proves_it_ran.py</w:t>
            </w:r>
          </w:p>
        </w:tc>
        <w:tc>
          <w:tcPr/>
          <w:p>
            <w:pPr>
              <w:pStyle w:val="Compact"/>
              <w:jc w:val="right"/>
            </w:pPr>
            <w:r>
              <w:t xml:space="preserve">5</w:t>
            </w:r>
          </w:p>
        </w:tc>
        <w:tc>
          <w:tcPr/>
          <w:p>
            <w:pPr>
              <w:pStyle w:val="Compact"/>
            </w:pPr>
            <w:r>
              <w:t xml:space="preserve">That the Tests job emits a JUnit report and asserts on it in a step no</w:t>
            </w:r>
            <w:r>
              <w:t xml:space="preserve"> </w:t>
            </w:r>
            <w:r>
              <w:rPr>
                <w:rStyle w:val="VerbatimChar"/>
              </w:rPr>
              <w:t xml:space="preserve">if:</w:t>
            </w:r>
            <w:r>
              <w:t xml:space="preserve"> </w:t>
            </w:r>
            <w:r>
              <w:t xml:space="preserve">can disable</w:t>
            </w:r>
          </w:p>
        </w:tc>
      </w:tr>
      <w:tr>
        <w:tc>
          <w:tcPr/>
          <w:p>
            <w:pPr>
              <w:pStyle w:val="Compact"/>
            </w:pPr>
            <w:r>
              <w:rPr>
                <w:rStyle w:val="VerbatimChar"/>
              </w:rPr>
              <w:t xml:space="preserve">test_the_baseline_is_not_stale_in_either_direction.py</w:t>
            </w:r>
          </w:p>
        </w:tc>
        <w:tc>
          <w:tcPr/>
          <w:p>
            <w:pPr>
              <w:pStyle w:val="Compact"/>
              <w:jc w:val="right"/>
            </w:pPr>
            <w:r>
              <w:t xml:space="preserve">4</w:t>
            </w:r>
          </w:p>
        </w:tc>
        <w:tc>
          <w:tcPr/>
          <w:p>
            <w:pPr>
              <w:pStyle w:val="Compact"/>
            </w:pPr>
            <w:r>
              <w:t xml:space="preserve">The thesis record equal to the thesis in both directions; a fall keeps its reason; a dry run writes nothing</w:t>
            </w:r>
          </w:p>
        </w:tc>
      </w:tr>
      <w:tr>
        <w:tc>
          <w:tcPr/>
          <w:p>
            <w:pPr>
              <w:pStyle w:val="Compact"/>
            </w:pPr>
            <w:r>
              <w:rPr>
                <w:rStyle w:val="VerbatimChar"/>
              </w:rPr>
              <w:t xml:space="preserve">test_every_guard_checker_has_a_caller.py</w:t>
            </w:r>
          </w:p>
        </w:tc>
        <w:tc>
          <w:tcPr/>
          <w:p>
            <w:pPr>
              <w:pStyle w:val="Compact"/>
              <w:jc w:val="right"/>
            </w:pPr>
            <w:r>
              <w:t xml:space="preserve">4</w:t>
            </w:r>
          </w:p>
        </w:tc>
        <w:tc>
          <w:tcPr/>
          <w:p>
            <w:pPr>
              <w:pStyle w:val="Compact"/>
            </w:pPr>
            <w:r>
              <w:t xml:space="preserve">Every</w:t>
            </w:r>
            <w:r>
              <w:t xml:space="preserve"> </w:t>
            </w:r>
            <w:r>
              <w:rPr>
                <w:rStyle w:val="VerbatimChar"/>
              </w:rPr>
              <w:t xml:space="preserve">check_*</w:t>
            </w:r>
            <w:r>
              <w:t xml:space="preserve"> </w:t>
            </w:r>
            <w:r>
              <w:t xml:space="preserve">and</w:t>
            </w:r>
            <w:r>
              <w:t xml:space="preserve"> </w:t>
            </w:r>
            <w:r>
              <w:rPr>
                <w:rStyle w:val="VerbatimChar"/>
              </w:rPr>
              <w:t xml:space="preserve">verify_*</w:t>
            </w:r>
            <w:r>
              <w:t xml:space="preserve"> </w:t>
            </w:r>
            <w:r>
              <w:t xml:space="preserve">script reachable from a workflow, a test or the documentation</w:t>
            </w:r>
          </w:p>
        </w:tc>
      </w:tr>
      <w:tr>
        <w:tc>
          <w:tcPr/>
          <w:p>
            <w:pPr>
              <w:pStyle w:val="Compact"/>
            </w:pPr>
            <w:r>
              <w:rPr>
                <w:rStyle w:val="VerbatimChar"/>
              </w:rPr>
              <w:t xml:space="preserve">test_the_deployed_build_reads_its_reply.py</w:t>
            </w:r>
          </w:p>
        </w:tc>
        <w:tc>
          <w:tcPr/>
          <w:p>
            <w:pPr>
              <w:pStyle w:val="Compact"/>
              <w:jc w:val="right"/>
            </w:pPr>
            <w:r>
              <w:t xml:space="preserve">4</w:t>
            </w:r>
          </w:p>
        </w:tc>
        <w:tc>
          <w:tcPr/>
          <w:p>
            <w:pPr>
              <w:pStyle w:val="Compact"/>
            </w:pPr>
            <w:r>
              <w:t xml:space="preserve">That the domain serves the build just deployed, and can say so apart from a network failure</w:t>
            </w:r>
          </w:p>
        </w:tc>
      </w:tr>
      <w:tr>
        <w:tc>
          <w:tcPr/>
          <w:p>
            <w:pPr>
              <w:pStyle w:val="Compact"/>
            </w:pPr>
            <w:r>
              <w:rPr>
                <w:rStyle w:val="VerbatimChar"/>
              </w:rPr>
              <w:t xml:space="preserve">test_ranking.py</w:t>
            </w:r>
          </w:p>
        </w:tc>
        <w:tc>
          <w:tcPr/>
          <w:p>
            <w:pPr>
              <w:pStyle w:val="Compact"/>
              <w:jc w:val="right"/>
            </w:pPr>
            <w:r>
              <w:t xml:space="preserve">8</w:t>
            </w:r>
          </w:p>
        </w:tc>
        <w:tc>
          <w:tcPr/>
          <w:p>
            <w:pPr>
              <w:pStyle w:val="Compact"/>
            </w:pPr>
            <w:r>
              <w:t xml:space="preserve">Foundational scoring and path ranking</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test_full_text_population.py</w:t>
            </w:r>
          </w:p>
        </w:tc>
        <w:tc>
          <w:tcPr/>
          <w:p>
            <w:pPr>
              <w:pStyle w:val="Compact"/>
              <w:jc w:val="right"/>
            </w:pPr>
            <w:r>
              <w:t xml:space="preserve">6</w:t>
            </w:r>
          </w:p>
        </w:tc>
        <w:tc>
          <w:tcPr/>
          <w:p>
            <w:pPr>
              <w:pStyle w:val="Compact"/>
            </w:pPr>
            <w:r>
              <w:t xml:space="preserve">The open-access full-text fallback of Section 5.2</w:t>
            </w:r>
          </w:p>
        </w:tc>
      </w:tr>
      <w:tr>
        <w:tc>
          <w:tcPr/>
          <w:p>
            <w:pPr>
              <w:pStyle w:val="Compact"/>
            </w:pPr>
            <w:r>
              <w:rPr>
                <w:rStyle w:val="VerbatimChar"/>
              </w:rPr>
              <w:t xml:space="preserve">test_a_constant_is_not_defined_twice_in_one_file.py</w:t>
            </w:r>
          </w:p>
        </w:tc>
        <w:tc>
          <w:tcPr/>
          <w:p>
            <w:pPr>
              <w:pStyle w:val="Compact"/>
              <w:jc w:val="right"/>
            </w:pPr>
            <w:r>
              <w:t xml:space="preserve">3</w:t>
            </w:r>
          </w:p>
        </w:tc>
        <w:tc>
          <w:tcPr/>
          <w:p>
            <w:pPr>
              <w:pStyle w:val="Compact"/>
            </w:pPr>
            <w:r>
              <w:t xml:space="preserve">A constant bound twice in one scope, and one redeclared as a dataclass field</w:t>
            </w:r>
          </w:p>
        </w:tc>
      </w:tr>
      <w:tr>
        <w:tc>
          <w:tcPr/>
          <w:p>
            <w:pPr>
              <w:pStyle w:val="Compact"/>
            </w:pPr>
            <w:r>
              <w:rPr>
                <w:rStyle w:val="VerbatimChar"/>
              </w:rPr>
              <w:t xml:space="preserve">test_a_guard_that_cannot_look_does_not_report_clean.py</w:t>
            </w:r>
          </w:p>
        </w:tc>
        <w:tc>
          <w:tcPr/>
          <w:p>
            <w:pPr>
              <w:pStyle w:val="Compact"/>
              <w:jc w:val="right"/>
            </w:pPr>
            <w:r>
              <w:t xml:space="preserve">4</w:t>
            </w:r>
          </w:p>
        </w:tc>
        <w:tc>
          <w:tcPr/>
          <w:p>
            <w:pPr>
              <w:pStyle w:val="Compact"/>
            </w:pPr>
            <w:r>
              <w:t xml:space="preserve">That the PDF checks in the drift guard are reading, rather than skipping on a missing PyMuPDF; the simulation is checked against</w:t>
            </w:r>
            <w:r>
              <w:t xml:space="preserve"> </w:t>
            </w:r>
            <w:r>
              <w:rPr>
                <w:rStyle w:val="VerbatimChar"/>
              </w:rPr>
              <w:t xml:space="preserve">importlib</w:t>
            </w:r>
            <w:r>
              <w:t xml:space="preserve"> </w:t>
            </w:r>
            <w:r>
              <w:t xml:space="preserve">so it does not depend on how pytest imports</w:t>
            </w:r>
          </w:p>
        </w:tc>
      </w:tr>
      <w:tr>
        <w:tc>
          <w:tcPr/>
          <w:p>
            <w:pPr>
              <w:pStyle w:val="Compact"/>
            </w:pPr>
            <w:r>
              <w:rPr>
                <w:rStyle w:val="VerbatimChar"/>
              </w:rPr>
              <w:t xml:space="preserve">test_no_source_file_carries_a_control_character.py</w:t>
            </w:r>
          </w:p>
        </w:tc>
        <w:tc>
          <w:tcPr/>
          <w:p>
            <w:pPr>
              <w:pStyle w:val="Compact"/>
              <w:jc w:val="right"/>
            </w:pPr>
            <w:r>
              <w:t xml:space="preserve">3</w:t>
            </w:r>
          </w:p>
        </w:tc>
        <w:tc>
          <w:tcPr/>
          <w:p>
            <w:pPr>
              <w:pStyle w:val="Compact"/>
            </w:pPr>
            <w:r>
              <w:t xml:space="preserve">Invisible control bytes, which turn a pattern into one that cannot fire</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273</w:t>
            </w:r>
          </w:p>
        </w:tc>
        <w:tc>
          <w:tcPr/>
          <w:p>
            <w:pPr>
              <w:pStyle w:val="Compact"/>
            </w:pPr>
          </w:p>
        </w:tc>
      </w:tr>
    </w:tbl>
    <w:bookmarkEnd w:id="286"/>
    <w:bookmarkStart w:id="287"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87"/>
    <w:bookmarkStart w:id="288"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88"/>
    <w:bookmarkStart w:id="289"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89"/>
    <w:bookmarkStart w:id="290"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90"/>
    <w:bookmarkEnd w:id="291"/>
    <w:bookmarkStart w:id="302"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92"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92"/>
    <w:bookmarkStart w:id="293"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93"/>
    <w:bookmarkStart w:id="294"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94"/>
    <w:bookmarkStart w:id="295"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95"/>
    <w:bookmarkStart w:id="296"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96"/>
    <w:bookmarkStart w:id="297"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97"/>
    <w:bookmarkStart w:id="298"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98"/>
    <w:bookmarkStart w:id="299"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99"/>
    <w:bookmarkStart w:id="300"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300"/>
    <w:bookmarkStart w:id="301"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301"/>
    <w:bookmarkEnd w:id="302"/>
    <w:bookmarkStart w:id="316"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303"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303"/>
    <w:bookmarkStart w:id="304"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52 module</w:t>
      </w:r>
      <w:r>
        <w:t xml:space="preserve"> </w:t>
      </w:r>
      <w:r>
        <w:t xml:space="preserve">nodes and 94 import edges, and at page width its labels render at roughly</w:t>
      </w:r>
      <w:r>
        <w:t xml:space="preserve"> </w:t>
      </w:r>
      <w:r>
        <w:t xml:space="preserve">three points. Collapsing each module to its package leaves 14 nodes and 40</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19 that take part in no association or inheritance</w:t>
      </w:r>
      <w:r>
        <w:t xml:space="preserve"> </w:t>
      </w:r>
      <w:r>
        <w:t xml:space="preserve">relationship. Those 19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67</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304"/>
    <w:bookmarkStart w:id="314" w:name="h.3-plates"/>
    <w:p>
      <w:pPr>
        <w:pStyle w:val="Heading2"/>
      </w:pPr>
      <w:r>
        <w:t xml:space="preserve">H.3 Plates</w:t>
      </w:r>
    </w:p>
    <w:p>
      <w:pPr>
        <w:pStyle w:val="CaptionedFigure"/>
      </w:pPr>
      <w:r>
        <w:drawing>
          <wp:inline>
            <wp:extent cx="3413760" cy="6598983"/>
            <wp:effectExtent b="0" l="0" r="0" t="0"/>
            <wp:docPr descr="Plate H.1 The complete data model: all seven Pydantic entities with every field and type, and all ten relationships. Figures 4.3 and 4.4 are the two halves of this diagram." title="" id="306" name="Picture"/>
            <a:graphic>
              <a:graphicData uri="http://schemas.openxmlformats.org/drawingml/2006/picture">
                <pic:pic>
                  <pic:nvPicPr>
                    <pic:cNvPr descr="figures/datamodel_full.png" id="307" name="Picture"/>
                    <pic:cNvPicPr>
                      <a:picLocks noChangeArrowheads="1" noChangeAspect="1"/>
                    </pic:cNvPicPr>
                  </pic:nvPicPr>
                  <pic:blipFill>
                    <a:blip r:embed="rId305"/>
                    <a:stretch>
                      <a:fillRect/>
                    </a:stretch>
                  </pic:blipFill>
                  <pic:spPr bwMode="auto">
                    <a:xfrm>
                      <a:off x="0" y="0"/>
                      <a:ext cx="3413760" cy="6598983"/>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4365851"/>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309" name="Picture"/>
            <a:graphic>
              <a:graphicData uri="http://schemas.openxmlformats.org/drawingml/2006/picture">
                <pic:pic>
                  <pic:nvPicPr>
                    <pic:cNvPr descr="figures/classes_full.png" id="310" name="Picture"/>
                    <pic:cNvPicPr>
                      <a:picLocks noChangeArrowheads="1" noChangeAspect="1"/>
                    </pic:cNvPicPr>
                  </pic:nvPicPr>
                  <pic:blipFill>
                    <a:blip r:embed="rId308"/>
                    <a:stretch>
                      <a:fillRect/>
                    </a:stretch>
                  </pic:blipFill>
                  <pic:spPr bwMode="auto">
                    <a:xfrm>
                      <a:off x="0" y="0"/>
                      <a:ext cx="5334000" cy="4365851"/>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8676661"/>
            <wp:effectExtent b="0" l="0" r="0" t="0"/>
            <wp:docPr descr="Plate H.3 The complete call graph from code2flow: 144 functions and every call between them, grouped by file and class. Figure 5.1 is the subgraph reachable from PipelineOrchestrator.run() within two levels." title="" id="312" name="Picture"/>
            <a:graphic>
              <a:graphicData uri="http://schemas.openxmlformats.org/drawingml/2006/picture">
                <pic:pic>
                  <pic:nvPicPr>
                    <pic:cNvPr descr="figures/callgraph_full.png" id="313" name="Picture"/>
                    <pic:cNvPicPr>
                      <a:picLocks noChangeArrowheads="1" noChangeAspect="1"/>
                    </pic:cNvPicPr>
                  </pic:nvPicPr>
                  <pic:blipFill>
                    <a:blip r:embed="rId311"/>
                    <a:stretch>
                      <a:fillRect/>
                    </a:stretch>
                  </pic:blipFill>
                  <pic:spPr bwMode="auto">
                    <a:xfrm>
                      <a:off x="0" y="0"/>
                      <a:ext cx="4693920" cy="8676661"/>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144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14"/>
    <w:bookmarkStart w:id="315"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15"/>
    <w:bookmarkEnd w:id="316"/>
    <w:bookmarkStart w:id="365"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48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17">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18">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19">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20">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21">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22">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23">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24">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25">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26">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27">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du2020ppocr</w:t>
      </w:r>
      <w:r>
        <w:t xml:space="preserve">. Yuning Du et al.. "PP-OCR: A Practical Ultra Lightweight OCR System."</w:t>
      </w:r>
      <w:r>
        <w:t xml:space="preserve"> </w:t>
      </w:r>
      <w:r>
        <w:rPr>
          <w:i/>
          <w:iCs/>
        </w:rPr>
        <w:t xml:space="preserve">arXiv (Cornell University)</w:t>
      </w:r>
      <w:r>
        <w:t xml:space="preserve">, 2020. DOI:</w:t>
      </w:r>
      <w:r>
        <w:t xml:space="preserve"> </w:t>
      </w:r>
      <w:hyperlink r:id="rId328">
        <w:r>
          <w:rPr>
            <w:rStyle w:val="Hyperlink"/>
          </w:rPr>
          <w:t xml:space="preserve">10.48550/arXiv.2009.09941</w:t>
        </w:r>
      </w:hyperlink>
      <w:r>
        <w:t xml:space="preserve"> </w:t>
      </w:r>
      <w:r>
        <w:rPr>
          <w:i/>
          <w:iCs/>
        </w:rPr>
        <w:t xml:space="preserve">Cited for:</w:t>
      </w:r>
      <w:r>
        <w:t xml:space="preserve"> </w:t>
      </w:r>
      <w:r>
        <w:t xml:space="preserve">PP-OCR, the recogniser RapidOCR exports</w:t>
      </w:r>
    </w:p>
    <w:p>
      <w:pPr>
        <w:pStyle w:val="BodyText"/>
      </w:pPr>
      <w:r>
        <w:rPr>
          <w:b/>
          <w:bCs/>
        </w:rPr>
        <w:t xml:space="preserve">[13]</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29">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[14]</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30">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[15]</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3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[16]</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32">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[17]</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33">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[18]</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34">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[19]</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35">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[20]</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36">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[21]</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37">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38">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39">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40">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[25]</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41">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[26]</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42">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[27]</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43">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[28]</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44">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[29]</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4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[30]</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4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[31]</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4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[32]</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4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[33]</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4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[34]</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5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[35]</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51">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[36]</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52">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[37]</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53">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[38]</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54">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[39]</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55">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[40]</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56">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[41]</w:t>
      </w:r>
      <w:r>
        <w:t xml:space="preserve"> </w:t>
      </w:r>
      <w:r>
        <w:rPr>
          <w:rStyle w:val="VerbatimChar"/>
        </w:rPr>
        <w:t xml:space="preserve">schulz2010consort</w:t>
      </w:r>
      <w:r>
        <w:t xml:space="preserve">. K. F Schulz, D. G Altman, and D. Moher. "CONSORT 2010 Statement: updated guidelines for reporting parallel group randomised trials."</w:t>
      </w:r>
      <w:r>
        <w:t xml:space="preserve"> </w:t>
      </w:r>
      <w:r>
        <w:rPr>
          <w:i/>
          <w:iCs/>
        </w:rPr>
        <w:t xml:space="preserve">BMJ</w:t>
      </w:r>
      <w:r>
        <w:t xml:space="preserve">, 2010. DOI:</w:t>
      </w:r>
      <w:r>
        <w:t xml:space="preserve"> </w:t>
      </w:r>
      <w:hyperlink r:id="rId357">
        <w:r>
          <w:rPr>
            <w:rStyle w:val="Hyperlink"/>
          </w:rPr>
          <w:t xml:space="preserve">10.1136/bmj.c332</w:t>
        </w:r>
      </w:hyperlink>
      <w:r>
        <w:t xml:space="preserve"> </w:t>
      </w:r>
      <w:r>
        <w:rPr>
          <w:i/>
          <w:iCs/>
        </w:rPr>
        <w:t xml:space="preserve">Cited for:</w:t>
      </w:r>
      <w:r>
        <w:t xml:space="preserve"> </w:t>
      </w:r>
      <w:r>
        <w:t xml:space="preserve">CONSORT 2010 statement and its flow diagram</w:t>
      </w:r>
    </w:p>
    <w:p>
      <w:pPr>
        <w:pStyle w:val="BodyText"/>
      </w:pPr>
      <w:r>
        <w:rPr>
          <w:b/>
          <w:bCs/>
        </w:rPr>
        <w:t xml:space="preserve">[42]</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58">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[43]</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59">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[44]</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60">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[45]</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61">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[46]</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62">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[47]</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63">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[48]</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64">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311" Target="media/rId311.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308" Target="media/rId308.png" /><Relationship Type="http://schemas.openxmlformats.org/officeDocument/2006/relationships/image" Id="rId78" Target="media/rId78.png" /><Relationship Type="http://schemas.openxmlformats.org/officeDocument/2006/relationships/image" Id="rId305" Target="media/rId305.png" /><Relationship Type="http://schemas.openxmlformats.org/officeDocument/2006/relationships/image" Id="rId84" Target="media/rId84.png" /><Relationship Type="http://schemas.openxmlformats.org/officeDocument/2006/relationships/image" Id="rId195" Target="media/rId195.png" /><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25" Target="https://doi.org/10.1002/asi.20317" TargetMode="External" /><Relationship Type="http://schemas.openxmlformats.org/officeDocument/2006/relationships/hyperlink" Id="rId343" Target="https://doi.org/10.1007/978-3-642-04346-8_62" TargetMode="External" /><Relationship Type="http://schemas.openxmlformats.org/officeDocument/2006/relationships/hyperlink" Id="rId356" Target="https://doi.org/10.1007/s100510050359" TargetMode="External" /><Relationship Type="http://schemas.openxmlformats.org/officeDocument/2006/relationships/hyperlink" Id="rId322" Target="https://doi.org/10.1016/S0169-7552(98)00110-X" TargetMode="External" /><Relationship Type="http://schemas.openxmlformats.org/officeDocument/2006/relationships/hyperlink" Id="rId358" Target="https://doi.org/10.1016/j.ipm.2009.03.002" TargetMode="External" /><Relationship Type="http://schemas.openxmlformats.org/officeDocument/2006/relationships/hyperlink" Id="rId326" Target="https://doi.org/10.1016/j.joi.2006.06.001" TargetMode="External" /><Relationship Type="http://schemas.openxmlformats.org/officeDocument/2006/relationships/hyperlink" Id="rId361" Target="https://doi.org/10.1016/j.joi.2016.02.007" TargetMode="External" /><Relationship Type="http://schemas.openxmlformats.org/officeDocument/2006/relationships/hyperlink" Id="rId344" Target="https://doi.org/10.1016/j.joi.2016.10.005" TargetMode="External" /><Relationship Type="http://schemas.openxmlformats.org/officeDocument/2006/relationships/hyperlink" Id="rId359" Target="https://doi.org/10.1016/j.joi.2017.05.014" TargetMode="External" /><Relationship Type="http://schemas.openxmlformats.org/officeDocument/2006/relationships/hyperlink" Id="rId330" Target="https://doi.org/10.1016/j.patrec.2005.10.010" TargetMode="External" /><Relationship Type="http://schemas.openxmlformats.org/officeDocument/2006/relationships/hyperlink" Id="rId319" Target="https://doi.org/10.1038/533452a" TargetMode="External" /><Relationship Type="http://schemas.openxmlformats.org/officeDocument/2006/relationships/hyperlink" Id="rId324" Target="https://doi.org/10.1038/nrn3475" TargetMode="External" /><Relationship Type="http://schemas.openxmlformats.org/officeDocument/2006/relationships/hyperlink" Id="rId336" Target="https://doi.org/10.1073/pnas.0507655102" TargetMode="External" /><Relationship Type="http://schemas.openxmlformats.org/officeDocument/2006/relationships/hyperlink" Id="rId355" Target="https://doi.org/10.1073/pnas.0806977105" TargetMode="External" /><Relationship Type="http://schemas.openxmlformats.org/officeDocument/2006/relationships/hyperlink" Id="rId350" Target="https://doi.org/10.1073/pnas.98.2.404" TargetMode="External" /><Relationship Type="http://schemas.openxmlformats.org/officeDocument/2006/relationships/hyperlink" Id="rId317" Target="https://doi.org/10.1080/00031305.1998.10480550" TargetMode="External" /><Relationship Type="http://schemas.openxmlformats.org/officeDocument/2006/relationships/hyperlink" Id="rId363" Target="https://doi.org/10.1080/01621459.1927.10502953" TargetMode="External" /><Relationship Type="http://schemas.openxmlformats.org/officeDocument/2006/relationships/hyperlink" Id="rId341" Target="https://doi.org/10.1080/15427951.2004.10129091" TargetMode="External" /><Relationship Type="http://schemas.openxmlformats.org/officeDocument/2006/relationships/hyperlink" Id="rId360" Target="https://doi.org/10.1088/1742-5468/2007/06/P06010" TargetMode="External" /><Relationship Type="http://schemas.openxmlformats.org/officeDocument/2006/relationships/hyperlink" Id="rId340" Target="https://doi.org/10.1093/bioinformatics/btg1023" TargetMode="External" /><Relationship Type="http://schemas.openxmlformats.org/officeDocument/2006/relationships/hyperlink" Id="rId342" Target="https://doi.org/10.1093/bioinformatics/btz682" TargetMode="External" /><Relationship Type="http://schemas.openxmlformats.org/officeDocument/2006/relationships/hyperlink" Id="rId346" Target="https://doi.org/10.1093/jamia/ocaa163" TargetMode="External" /><Relationship Type="http://schemas.openxmlformats.org/officeDocument/2006/relationships/hyperlink" Id="rId345" Target="https://doi.org/10.1093/jamia/ocv044" TargetMode="External" /><Relationship Type="http://schemas.openxmlformats.org/officeDocument/2006/relationships/hyperlink" Id="rId329" Target="https://doi.org/10.1093/nar/gku1061" TargetMode="External" /><Relationship Type="http://schemas.openxmlformats.org/officeDocument/2006/relationships/hyperlink" Id="rId353" Target="https://doi.org/10.1126/science.1213847" TargetMode="External" /><Relationship Type="http://schemas.openxmlformats.org/officeDocument/2006/relationships/hyperlink" Id="rId331" Target="https://doi.org/10.1126/science.122.3159.108" TargetMode="External" /><Relationship Type="http://schemas.openxmlformats.org/officeDocument/2006/relationships/hyperlink" Id="rId357" Target="https://doi.org/10.1136/bmj.c332" TargetMode="External" /><Relationship Type="http://schemas.openxmlformats.org/officeDocument/2006/relationships/hyperlink" Id="rId335" Target="https://doi.org/10.1136/bmj.d5928" TargetMode="External" /><Relationship Type="http://schemas.openxmlformats.org/officeDocument/2006/relationships/hyperlink" Id="rId364" Target="https://doi.org/10.1136/bmj.m1328" TargetMode="External" /><Relationship Type="http://schemas.openxmlformats.org/officeDocument/2006/relationships/hyperlink" Id="rId321" Target="https://doi.org/10.1145/1060745.1060827" TargetMode="External" /><Relationship Type="http://schemas.openxmlformats.org/officeDocument/2006/relationships/hyperlink" Id="rId351" Target="https://doi.org/10.1145/1102351.1102430" TargetMode="External" /><Relationship Type="http://schemas.openxmlformats.org/officeDocument/2006/relationships/hyperlink" Id="rId318" Target="https://doi.org/10.1162/coli.07-034-r2" TargetMode="External" /><Relationship Type="http://schemas.openxmlformats.org/officeDocument/2006/relationships/hyperlink" Id="rId362" Target="https://doi.org/10.1162/qss_a_00021" TargetMode="External" /><Relationship Type="http://schemas.openxmlformats.org/officeDocument/2006/relationships/hyperlink" Id="rId334" Target="https://doi.org/10.1162/qss_a_00022" TargetMode="External" /><Relationship Type="http://schemas.openxmlformats.org/officeDocument/2006/relationships/hyperlink" Id="rId327" Target="https://doi.org/10.1177/001316446002000104" TargetMode="External" /><Relationship Type="http://schemas.openxmlformats.org/officeDocument/2006/relationships/hyperlink" Id="rId337" Target="https://doi.org/10.1197/jamia.m1733" TargetMode="External" /><Relationship Type="http://schemas.openxmlformats.org/officeDocument/2006/relationships/hyperlink" Id="rId323" Target="https://doi.org/10.1214/ss/1009213286" TargetMode="External" /><Relationship Type="http://schemas.openxmlformats.org/officeDocument/2006/relationships/hyperlink" Id="rId338" Target="https://doi.org/10.1371/journal.pmed.0020124" TargetMode="External" /><Relationship Type="http://schemas.openxmlformats.org/officeDocument/2006/relationships/hyperlink" Id="rId348" Target="https://doi.org/10.1371/journal.pmed.1000097" TargetMode="External" /><Relationship Type="http://schemas.openxmlformats.org/officeDocument/2006/relationships/hyperlink" Id="rId320" Target="https://doi.org/10.18653/v1/D19-1371" TargetMode="External" /><Relationship Type="http://schemas.openxmlformats.org/officeDocument/2006/relationships/hyperlink" Id="rId352" Target="https://doi.org/10.18653/v1/P18-1019" TargetMode="External" /><Relationship Type="http://schemas.openxmlformats.org/officeDocument/2006/relationships/hyperlink" Id="rId339" Target="https://doi.org/10.18653/v1/W18-2308" TargetMode="External" /><Relationship Type="http://schemas.openxmlformats.org/officeDocument/2006/relationships/hyperlink" Id="rId349" Target="https://doi.org/10.18653/v1/W19-5034" TargetMode="External" /><Relationship Type="http://schemas.openxmlformats.org/officeDocument/2006/relationships/hyperlink" Id="rId333" Target="https://doi.org/10.25080/TCWV9851" TargetMode="External" /><Relationship Type="http://schemas.openxmlformats.org/officeDocument/2006/relationships/hyperlink" Id="rId332" Target="https://doi.org/10.48550/arXiv.1706.04599" TargetMode="External" /><Relationship Type="http://schemas.openxmlformats.org/officeDocument/2006/relationships/hyperlink" Id="rId328" Target="https://doi.org/10.48550/arXiv.2009.09941" TargetMode="External" /><Relationship Type="http://schemas.openxmlformats.org/officeDocument/2006/relationships/hyperlink" Id="rId354" Target="https://doi.org/10.48550/arXiv.2205.01833" TargetMode="External" /><Relationship Type="http://schemas.openxmlformats.org/officeDocument/2006/relationships/hyperlink" Id="rId34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2026-09-27T16:40:56Z</dcterms:created>
  <dcterms:modified xsi:type="dcterms:W3CDTF">2026-09-27T16:40:56Z</dcterms:modified>
</cp:coreProperties>
</file>

<file path=docProps/custom.xml><?xml version="1.0" encoding="utf-8"?>
<Properties xmlns="http://schemas.openxmlformats.org/officeDocument/2006/custom-properties" xmlns:vt="http://schemas.openxmlformats.org/officeDocument/2006/docPropsVTypes"/>
</file>