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IMPLEMENTATION BLUEPRINT  /  STAGE 01</w:t>
      </w:r>
    </w:p>
    <w:p>
      <w:pPr>
        <w:pStyle w:val="Title"/>
      </w:pPr>
      <w:r>
        <w:t>Foundation &amp; Public Website</w:t>
      </w:r>
    </w:p>
    <w:p>
      <w:pPr>
        <w:spacing w:after="200"/>
      </w:pPr>
      <w:r>
        <w:t>Lovable build instructions for a Uganda-focused, multi-tenant SACCO Management SaaS</w:t>
      </w:r>
    </w:p>
    <w:tbl>
      <w:tblPr>
        <w:tblW w:type="auto" w:w="0"/>
        <w:jc w:val="center"/>
        <w:tblLook w:firstColumn="1" w:firstRow="1" w:lastColumn="0" w:lastRow="0" w:noHBand="0" w:noVBand="1" w:val="04A0"/>
      </w:tblPr>
      <w:tblGrid>
        <w:gridCol w:w="10080"/>
      </w:tblGrid>
      <w:tr>
        <w:tc>
          <w:tcPr>
            <w:tcW w:type="dxa" w:w="10080"/>
            <w:shd w:fill="EFFAF1"/>
            <w:vAlign w:val="center"/>
            <w:tcBorders>
              <w:top w:val="single" w:sz="5" w:color="D5E5D9"/>
              <w:left w:val="single" w:sz="5" w:color="D5E5D9"/>
              <w:bottom w:val="single" w:sz="5" w:color="D5E5D9"/>
              <w:right w:val="single" w:sz="5" w:color="D5E5D9"/>
              <w:insideH w:val="single" w:sz="5" w:color="D5E5D9"/>
              <w:insideV w:val="single" w:sz="5" w:color="D5E5D9"/>
            </w:tcBorders>
          </w:tcPr>
          <w:p>
            <w:r>
              <w:rPr>
                <w:rFonts w:ascii="Aptos" w:hAnsi="Aptos"/>
                <w:b w:val="0"/>
                <w:color w:val="26352F"/>
                <w:sz w:val="20"/>
              </w:rPr>
              <w:t>OBJECTIVE</w:t>
              <w:br/>
              <w:t>Build the visual foundation, public website, authentication entry points, tenant data model and secure access foundations. Do not implement live financial transactions in Stage 1.</w:t>
            </w:r>
          </w:p>
        </w:tc>
      </w:tr>
    </w:tbl>
    <w:p>
      <w:pPr>
        <w:pStyle w:val="Heading1"/>
      </w:pPr>
      <w:r>
        <w:t>1. Product vision</w:t>
      </w:r>
    </w:p>
    <w:p>
      <w:r>
        <w:t>Create one centrally hosted SaaS platform serving multiple independent SACCOs. Each SACCO has its own workspace, members, staff, transactions, settings and reports. A user must never access another SACCO’s private data unless explicitly authorized. FlexSACCO is the working name and can be changed later.</w:t>
      </w:r>
    </w:p>
    <w:p>
      <w:pPr>
        <w:pStyle w:val="Heading1"/>
      </w:pPr>
      <w:r>
        <w:t>2. Design system</w:t>
      </w:r>
    </w:p>
    <w:p>
      <w:r>
        <w:t>Use an original, polished green-and-white fintech design. Keep the UI accessible, responsive and consistent.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D31"/>
          </w:tcPr>
          <w:p>
            <w:r>
              <w:rPr>
                <w:b/>
                <w:color w:val="FFFFFF"/>
              </w:rPr>
              <w:t>Token</w:t>
            </w:r>
          </w:p>
        </w:tc>
        <w:tc>
          <w:tcPr>
            <w:tcW w:type="dxa" w:w="3360"/>
            <w:shd w:fill="123D31"/>
          </w:tcPr>
          <w:p>
            <w:r>
              <w:rPr>
                <w:b/>
                <w:color w:val="FFFFFF"/>
              </w:rPr>
              <w:t>Hex</w:t>
            </w:r>
          </w:p>
        </w:tc>
        <w:tc>
          <w:tcPr>
            <w:tcW w:type="dxa" w:w="3360"/>
            <w:shd w:fill="123D31"/>
          </w:tcPr>
          <w:p>
            <w:r>
              <w:rPr>
                <w:b/>
                <w:color w:val="FFFFFF"/>
              </w:rPr>
              <w:t>Usage</w:t>
            </w:r>
          </w:p>
        </w:tc>
      </w:tr>
      <w:tr>
        <w:tc>
          <w:tcPr>
            <w:tcW w:type="dxa" w:w="3360"/>
            <w:shd w:fill="123D31"/>
            <w:tcBorders>
              <w:top w:val="single" w:sz="5" w:color="D5E5D9"/>
              <w:left w:val="single" w:sz="5" w:color="D5E5D9"/>
              <w:bottom w:val="single" w:sz="5" w:color="D5E5D9"/>
              <w:right w:val="single" w:sz="5" w:color="D5E5D9"/>
              <w:insideH w:val="single" w:sz="5" w:color="D5E5D9"/>
              <w:insideV w:val="single" w:sz="5" w:color="D5E5D9"/>
            </w:tcBorders>
            <w:vAlign w:val="center"/>
          </w:tcPr>
          <w:p>
            <w:r>
              <w:t>Forest green</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#123D31</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Brand, headings, primary navigation</w:t>
            </w:r>
          </w:p>
        </w:tc>
      </w:tr>
      <w:tr>
        <w:tc>
          <w:tcPr>
            <w:tcW w:type="dxa" w:w="3360"/>
            <w:shd w:fill="4CAF67"/>
            <w:tcBorders>
              <w:top w:val="single" w:sz="5" w:color="D5E5D9"/>
              <w:left w:val="single" w:sz="5" w:color="D5E5D9"/>
              <w:bottom w:val="single" w:sz="5" w:color="D5E5D9"/>
              <w:right w:val="single" w:sz="5" w:color="D5E5D9"/>
              <w:insideH w:val="single" w:sz="5" w:color="D5E5D9"/>
              <w:insideV w:val="single" w:sz="5" w:color="D5E5D9"/>
            </w:tcBorders>
            <w:vAlign w:val="center"/>
          </w:tcPr>
          <w:p>
            <w:r>
              <w:t>Action green</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#4CAF67</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Primary actions and positive emphasis</w:t>
            </w:r>
          </w:p>
        </w:tc>
      </w:tr>
      <w:tr>
        <w:tc>
          <w:tcPr>
            <w:tcW w:type="dxa" w:w="3360"/>
            <w:shd w:fill="D8F3DC"/>
            <w:tcBorders>
              <w:top w:val="single" w:sz="5" w:color="D5E5D9"/>
              <w:left w:val="single" w:sz="5" w:color="D5E5D9"/>
              <w:bottom w:val="single" w:sz="5" w:color="D5E5D9"/>
              <w:right w:val="single" w:sz="5" w:color="D5E5D9"/>
              <w:insideH w:val="single" w:sz="5" w:color="D5E5D9"/>
              <w:insideV w:val="single" w:sz="5" w:color="D5E5D9"/>
            </w:tcBorders>
            <w:vAlign w:val="center"/>
          </w:tcPr>
          <w:p>
            <w:r>
              <w:t>Soft mint</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#D8F3DC</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Hero highlights and soft panels</w:t>
            </w:r>
          </w:p>
        </w:tc>
      </w:tr>
      <w:tr>
        <w:tc>
          <w:tcPr>
            <w:tcW w:type="dxa" w:w="3360"/>
            <w:shd w:fill="EFFAF1"/>
            <w:tcBorders>
              <w:top w:val="single" w:sz="5" w:color="D5E5D9"/>
              <w:left w:val="single" w:sz="5" w:color="D5E5D9"/>
              <w:bottom w:val="single" w:sz="5" w:color="D5E5D9"/>
              <w:right w:val="single" w:sz="5" w:color="D5E5D9"/>
              <w:insideH w:val="single" w:sz="5" w:color="D5E5D9"/>
              <w:insideV w:val="single" w:sz="5" w:color="D5E5D9"/>
            </w:tcBorders>
            <w:vAlign w:val="center"/>
          </w:tcPr>
          <w:p>
            <w:r>
              <w:t>Pale background</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#EFFAF1</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Page backgrounds</w:t>
            </w:r>
          </w:p>
        </w:tc>
      </w:tr>
      <w:tr>
        <w:tc>
          <w:tcPr>
            <w:tcW w:type="dxa" w:w="3360"/>
            <w:shd w:fill="FFFFFF"/>
            <w:tcBorders>
              <w:top w:val="single" w:sz="5" w:color="D5E5D9"/>
              <w:left w:val="single" w:sz="5" w:color="D5E5D9"/>
              <w:bottom w:val="single" w:sz="5" w:color="D5E5D9"/>
              <w:right w:val="single" w:sz="5" w:color="D5E5D9"/>
              <w:insideH w:val="single" w:sz="5" w:color="D5E5D9"/>
              <w:insideV w:val="single" w:sz="5" w:color="D5E5D9"/>
            </w:tcBorders>
            <w:vAlign w:val="center"/>
          </w:tcPr>
          <w:p>
            <w:r>
              <w:t>White</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#FFFFFF</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Cards and content surfaces</w:t>
            </w:r>
          </w:p>
        </w:tc>
      </w:tr>
      <w:tr>
        <w:tc>
          <w:tcPr>
            <w:tcW w:type="dxa" w:w="3360"/>
            <w:shd w:fill="26352F"/>
            <w:tcBorders>
              <w:top w:val="single" w:sz="5" w:color="D5E5D9"/>
              <w:left w:val="single" w:sz="5" w:color="D5E5D9"/>
              <w:bottom w:val="single" w:sz="5" w:color="D5E5D9"/>
              <w:right w:val="single" w:sz="5" w:color="D5E5D9"/>
              <w:insideH w:val="single" w:sz="5" w:color="D5E5D9"/>
              <w:insideV w:val="single" w:sz="5" w:color="D5E5D9"/>
            </w:tcBorders>
            <w:vAlign w:val="center"/>
          </w:tcPr>
          <w:p>
            <w:r>
              <w:t>Main text</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#26352F</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Body copy</w:t>
            </w:r>
          </w:p>
        </w:tc>
      </w:tr>
      <w:tr>
        <w:tc>
          <w:tcPr>
            <w:tcW w:type="dxa" w:w="3360"/>
            <w:shd w:fill="63716A"/>
            <w:tcBorders>
              <w:top w:val="single" w:sz="5" w:color="D5E5D9"/>
              <w:left w:val="single" w:sz="5" w:color="D5E5D9"/>
              <w:bottom w:val="single" w:sz="5" w:color="D5E5D9"/>
              <w:right w:val="single" w:sz="5" w:color="D5E5D9"/>
              <w:insideH w:val="single" w:sz="5" w:color="D5E5D9"/>
              <w:insideV w:val="single" w:sz="5" w:color="D5E5D9"/>
            </w:tcBorders>
            <w:vAlign w:val="center"/>
          </w:tcPr>
          <w:p>
            <w:r>
              <w:t>Muted text</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#63716A</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Secondary information</w:t>
            </w:r>
          </w:p>
        </w:tc>
      </w:tr>
      <w:tr>
        <w:tc>
          <w:tcPr>
            <w:tcW w:type="dxa" w:w="3360"/>
            <w:shd w:fill="D5E5D9"/>
            <w:tcBorders>
              <w:top w:val="single" w:sz="5" w:color="D5E5D9"/>
              <w:left w:val="single" w:sz="5" w:color="D5E5D9"/>
              <w:bottom w:val="single" w:sz="5" w:color="D5E5D9"/>
              <w:right w:val="single" w:sz="5" w:color="D5E5D9"/>
              <w:insideH w:val="single" w:sz="5" w:color="D5E5D9"/>
              <w:insideV w:val="single" w:sz="5" w:color="D5E5D9"/>
            </w:tcBorders>
            <w:vAlign w:val="center"/>
          </w:tcPr>
          <w:p>
            <w:r>
              <w:t>Borders</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#D5E5D9</w:t>
            </w:r>
          </w:p>
        </w:tc>
        <w:tc>
          <w:tcPr>
            <w:tcW w:type="dxa" w:w="3360"/>
            <w:tcBorders>
              <w:top w:val="single" w:sz="5" w:color="D5E5D9"/>
              <w:left w:val="single" w:sz="5" w:color="D5E5D9"/>
              <w:bottom w:val="single" w:sz="5" w:color="D5E5D9"/>
              <w:right w:val="single" w:sz="5" w:color="D5E5D9"/>
              <w:insideH w:val="single" w:sz="5" w:color="D5E5D9"/>
              <w:insideV w:val="single" w:sz="5" w:color="D5E5D9"/>
            </w:tcBorders>
            <w:vAlign w:val="center"/>
          </w:tcPr>
          <w:p>
            <w:r>
              <w:t>Dividers and card outlines</w:t>
            </w:r>
          </w:p>
        </w:tc>
      </w:tr>
    </w:tbl>
    <w:p>
      <w:r>
        <w:t>Layout direction: split hero with marketing copy on the left and an original dashboard preview on the right; simple navigation; rounded cards; subtle borders; generous whitespace; clear typography; accessible contrast; responsive sidebar and mobile navigation. Do not copy competitor logos, proprietary assets or exact page designs.</w:t>
      </w:r>
    </w:p>
    <w:p>
      <w:pPr>
        <w:pStyle w:val="Heading1"/>
      </w:pPr>
      <w:r>
        <w:t>3. Public pages to build</w:t>
      </w:r>
    </w:p>
    <w:p>
      <w:pPr>
        <w:pStyle w:val="ListBullet"/>
      </w:pPr>
      <w:r>
        <w:t>Home — value proposition, product highlights, dashboard preview and calls to action.</w:t>
      </w:r>
    </w:p>
    <w:p>
      <w:pPr>
        <w:pStyle w:val="ListBullet"/>
      </w:pPr>
      <w:r>
        <w:t>Features — members, savings, shares, cash, Mobile Money, loans, accounting, reports and notifications.</w:t>
      </w:r>
    </w:p>
    <w:p>
      <w:pPr>
        <w:pStyle w:val="ListBullet"/>
      </w:pPr>
      <w:r>
        <w:t>Pricing — trial, weekly, monthly, yearly and limited lifetime options; configurable plan limits and feature comparison.</w:t>
      </w:r>
    </w:p>
    <w:p>
      <w:pPr>
        <w:pStyle w:val="ListBullet"/>
      </w:pPr>
      <w:r>
        <w:t>Security — explain tenant isolation, access controls, auditability and data protection without making unsupported certification claims.</w:t>
      </w:r>
    </w:p>
    <w:p>
      <w:pPr>
        <w:pStyle w:val="ListBullet"/>
      </w:pPr>
      <w:r>
        <w:t>About — mission, product overview and Uganda-focused context.</w:t>
      </w:r>
    </w:p>
    <w:p>
      <w:pPr>
        <w:pStyle w:val="ListBullet"/>
      </w:pPr>
      <w:r>
        <w:t>Contact / Request a Demo — validated contact form and clear confirmation state.</w:t>
      </w:r>
    </w:p>
    <w:p>
      <w:pPr>
        <w:pStyle w:val="ListBullet"/>
      </w:pPr>
      <w:r>
        <w:t>Sign Up and Login — secure authentication entry points.</w:t>
      </w:r>
    </w:p>
    <w:p>
      <w:pPr>
        <w:pStyle w:val="ListBullet"/>
      </w:pPr>
      <w:r>
        <w:t>Terms and Privacy — clearly marked draft content requiring legal review before launch.</w:t>
      </w:r>
    </w:p>
    <w:p>
      <w:pPr>
        <w:pStyle w:val="Heading1"/>
      </w:pPr>
      <w:r>
        <w:t>4. Authentication and roles</w:t>
      </w:r>
    </w:p>
    <w:p>
      <w:r>
        <w:t>Prepare the permission model for these roles:</w:t>
      </w:r>
    </w:p>
    <w:p>
      <w:pPr>
        <w:pStyle w:val="ListBullet"/>
      </w:pPr>
      <w:r>
        <w:t>SaaS Super Admin</w:t>
      </w:r>
    </w:p>
    <w:p>
      <w:pPr>
        <w:pStyle w:val="ListBullet"/>
      </w:pPr>
      <w:r>
        <w:t>SACCO Owner / Administrator</w:t>
      </w:r>
    </w:p>
    <w:p>
      <w:pPr>
        <w:pStyle w:val="ListBullet"/>
      </w:pPr>
      <w:r>
        <w:t>Accountant</w:t>
      </w:r>
    </w:p>
    <w:p>
      <w:pPr>
        <w:pStyle w:val="ListBullet"/>
      </w:pPr>
      <w:r>
        <w:t>Cashier</w:t>
      </w:r>
    </w:p>
    <w:p>
      <w:pPr>
        <w:pStyle w:val="ListBullet"/>
      </w:pPr>
      <w:r>
        <w:t>Loan Officer</w:t>
      </w:r>
    </w:p>
    <w:p>
      <w:pPr>
        <w:pStyle w:val="ListBullet"/>
      </w:pPr>
      <w:r>
        <w:t>Approver / Manager</w:t>
      </w:r>
    </w:p>
    <w:p>
      <w:pPr>
        <w:pStyle w:val="ListBullet"/>
      </w:pPr>
      <w:r>
        <w:t>Member</w:t>
      </w:r>
    </w:p>
    <w:p>
      <w:r>
        <w:t>Do not provide public Super Admin registration. Enforce permissions in backend/database policies; hiding a button in the UI is not authorization. Do not create custom plaintext password fields.</w:t>
      </w:r>
    </w:p>
    <w:p>
      <w:pPr>
        <w:pStyle w:val="Heading1"/>
      </w:pPr>
      <w:r>
        <w:t>5. Multi-tenant database foundation</w:t>
      </w:r>
    </w:p>
    <w:p>
      <w:r>
        <w:t>Use Lovable’s supported backend integration, preferably Supabase/PostgreSQL, with migrations and Row Level Security (RLS). Create initial tables for user profiles, SACCO tenants/workspaces, tenant memberships and roles, subscription plans, tenant subscriptions, and audit events.</w:t>
      </w:r>
    </w:p>
    <w:p>
      <w:pPr>
        <w:pStyle w:val="ListBullet"/>
      </w:pPr>
      <w:r>
        <w:t>Use stable primary keys, timestamps, foreign keys and appropriate unique constraints.</w:t>
      </w:r>
    </w:p>
    <w:p>
      <w:pPr>
        <w:pStyle w:val="ListBullet"/>
      </w:pPr>
      <w:r>
        <w:t>A user may belong to more than one SACCO if explicitly authorized.</w:t>
      </w:r>
    </w:p>
    <w:p>
      <w:pPr>
        <w:pStyle w:val="ListBullet"/>
      </w:pPr>
      <w:r>
        <w:t>Every tenant-owned record must carry a tenant/workspace ID.</w:t>
      </w:r>
    </w:p>
    <w:p>
      <w:pPr>
        <w:pStyle w:val="ListBullet"/>
      </w:pPr>
      <w:r>
        <w:t>Validate tenant membership and role on the server; never trust a tenant ID supplied by the browser alone.</w:t>
      </w:r>
    </w:p>
    <w:p>
      <w:pPr>
        <w:pStyle w:val="ListBullet"/>
      </w:pPr>
      <w:r>
        <w:t>Write restrictive RLS policies and test them with separate test users and separate SACCOs.</w:t>
      </w:r>
    </w:p>
    <w:p>
      <w:pPr>
        <w:pStyle w:val="ListBullet"/>
      </w:pPr>
      <w:r>
        <w:t>Protect audit events from ordinary users’ alteration or deletion.</w:t>
      </w:r>
    </w:p>
    <w:p>
      <w:pPr>
        <w:pStyle w:val="Heading1"/>
      </w:pPr>
      <w:r>
        <w:t>6. Onboarding journey</w:t>
      </w:r>
    </w:p>
    <w:p>
      <w:pPr>
        <w:pStyle w:val="ListNumber"/>
      </w:pPr>
      <w:r>
        <w:t>Visitor chooses a trial or subscription plan.</w:t>
      </w:r>
    </w:p>
    <w:p>
      <w:pPr>
        <w:pStyle w:val="ListNumber"/>
      </w:pPr>
      <w:r>
        <w:t>Visitor creates an account or signs in.</w:t>
      </w:r>
    </w:p>
    <w:p>
      <w:pPr>
        <w:pStyle w:val="ListNumber"/>
      </w:pPr>
      <w:r>
        <w:t>Eligible trial user proceeds to SACCO registration.</w:t>
      </w:r>
    </w:p>
    <w:p>
      <w:pPr>
        <w:pStyle w:val="ListNumber"/>
      </w:pPr>
      <w:r>
        <w:t>Paid user will later proceed to checkout.</w:t>
      </w:r>
    </w:p>
    <w:p>
      <w:pPr>
        <w:pStyle w:val="ListNumber"/>
      </w:pPr>
      <w:r>
        <w:t>A paid workspace may be activated only after the provider confirms payment server-side.</w:t>
      </w:r>
    </w:p>
    <w:p>
      <w:pPr>
        <w:pStyle w:val="ListNumber"/>
      </w:pPr>
      <w:r>
        <w:t>SACCO owner completes the organization profile and opens the workspace.</w:t>
      </w:r>
    </w:p>
    <w:p>
      <w:r>
        <w:t>Stage 1 implements the screens and safe data foundations only. Do not fake payment success, activate paid subscriptions from a browser redirect, or create a production payment integration in this stage.</w:t>
      </w:r>
    </w:p>
    <w:p>
      <w:pPr>
        <w:pStyle w:val="Heading1"/>
      </w:pPr>
      <w:r>
        <w:t>7. Authenticated dashboard shell</w:t>
      </w:r>
    </w:p>
    <w:p>
      <w:r>
        <w:t>Create a responsive sidebar, workspace selector, profile menu, notifications area, overview cards and recent activity section. Add navigation destinations for Members, Savings, Shares, Cash, Mobile Money, Loans, Accounting, Reports, Staff, Settings and Subscription. Mark unimplemented modules as “Coming in a later stage.” Do not present fabricated financial values as real balances.</w:t>
      </w:r>
    </w:p>
    <w:p>
      <w:pPr>
        <w:pStyle w:val="Heading1"/>
      </w:pPr>
      <w:r>
        <w:t>8. ioTec integration boundary</w:t>
      </w:r>
    </w:p>
    <w:p>
      <w:r>
        <w:t>Plan for ioTec Pay to support approved MTN MoMo/Airtel Money collection and disbursement operations, and ioTec Messaging for SMS. Stage 1 should include documented integration interfaces and configuration placeholders only. No live payment or SMS claims.</w:t>
      </w:r>
    </w:p>
    <w:p>
      <w:pPr>
        <w:pStyle w:val="ListBullet"/>
      </w:pPr>
      <w:r>
        <w:t>Never expose API keys in frontend code or commit secrets.</w:t>
      </w:r>
    </w:p>
    <w:p>
      <w:pPr>
        <w:pStyle w:val="ListBullet"/>
      </w:pPr>
      <w:r>
        <w:t>Use trusted server-side functions for provider calls and callback verification.</w:t>
      </w:r>
    </w:p>
    <w:p>
      <w:pPr>
        <w:pStyle w:val="ListBullet"/>
      </w:pPr>
      <w:r>
        <w:t>Verify final provider status before posting payments or activating paid subscriptions.</w:t>
      </w:r>
    </w:p>
    <w:p>
      <w:pPr>
        <w:pStyle w:val="ListBullet"/>
      </w:pPr>
      <w:r>
        <w:t>Use idempotency protection for duplicate requests and callbacks.</w:t>
      </w:r>
    </w:p>
    <w:p>
      <w:pPr>
        <w:pStyle w:val="ListBullet"/>
      </w:pPr>
      <w:r>
        <w:t>Confirm production access, fees, settlement arrangements and supported operations directly with ioTec.</w:t>
      </w:r>
    </w:p>
    <w:p>
      <w:pPr>
        <w:pStyle w:val="Heading1"/>
      </w:pPr>
      <w:r>
        <w:t>9. Financial integrity principles</w:t>
      </w:r>
    </w:p>
    <w:p>
      <w:r>
        <w:t>Prepare for a double-entry ledger. Physical cash, MTN MoMo and Airtel Money must be separate payment channels and ledger accounts. Future posted transactions must be traceable, balanced, authorized and auditable. Correct errors using controlled reversals, not silent deletion. No real money movement is implemented in Stage 1.</w:t>
      </w:r>
    </w:p>
    <w:p>
      <w:pPr>
        <w:pStyle w:val="Heading1"/>
      </w:pPr>
      <w:r>
        <w:t>10. Copy-ready Lovable prompt</w:t>
      </w:r>
    </w:p>
    <w:p>
      <w:pPr>
        <w:spacing w:before="80" w:after="160"/>
        <w:ind w:left="259" w:right="259"/>
      </w:pPr>
      <w:r>
        <w:rPr>
          <w:rFonts w:ascii="Aptos" w:hAnsi="Aptos"/>
          <w:color w:val="26352F"/>
          <w:sz w:val="18"/>
        </w:rPr>
        <w:t>Build Stage 1 of FlexSACCO, a Uganda-focused, multi-tenant SACCO Management SaaS. Create an original responsive green-and-white fintech public website and dashboard shell. Use forest green #123D31, action green #4CAF67, soft mint #D8F3DC, pale background #EFFAF1, white #FFFFFF, main text #26352F, muted text #63716A and borders #D5E5D9. Build Home, Features, Pricing, Security, About, Contact/Request Demo, Sign Up, Login, Terms and Privacy pages. Use “My Portal” for portal navigation when logged out. Prepare authentication and roles for SaaS Super Admin, SACCO Owner/Admin, Accountant, Cashier, Loan Officer, Approver/Manager and Member. Use Supabase/PostgreSQL with migrations and restrictive Row Level Security. Create initial tables for profiles, tenants, tenant memberships, subscription plans, subscriptions and audit events. Enforce tenant isolation on the backend/database; never trust tenant IDs from the browser. Create a responsive authenticated dashboard shell with Members, Savings, Shares, Cash, Mobile Money, Loans, Accounting, Reports, Staff, Settings and Subscription navigation; mark unfinished modules as coming later and do not show invented balances as real. Prepare an onboarding journey for trial or paid plans, but do not fake payment success or enable paid workspaces from a browser redirect. Document future ioTec Pay integration for MTN MoMo/Airtel Money and ioTec Messaging for SMS, but do not connect live APIs or expose secrets in this stage. Prepare for double-entry accounting and distinct cash/MoMo ledger accounts. Do not implement real financial transactions in Stage 1. Run available build checks, fix errors, test auth and cross-tenant isolation, and document what works, what was tested and what remains. Finish Stage 1 only; do not proceed to later stages automatically.</w:t>
      </w:r>
    </w:p>
    <w:p>
      <w:pPr>
        <w:pStyle w:val="Heading1"/>
      </w:pPr>
      <w:r>
        <w:t>11. Acceptance checklist</w:t>
      </w:r>
    </w:p>
    <w:p>
      <w:r>
        <w:t>☐ Public pages render correctly on mobile and desktop.</w:t>
      </w:r>
    </w:p>
    <w:p>
      <w:r>
        <w:t>☐ Sign-up, login and logout work with the selected authentication provider.</w:t>
      </w:r>
    </w:p>
    <w:p>
      <w:r>
        <w:t>☐ Protected pages are inaccessible without authentication.</w:t>
      </w:r>
    </w:p>
    <w:p>
      <w:r>
        <w:t>☐ Database migrations run successfully.</w:t>
      </w:r>
    </w:p>
    <w:p>
      <w:r>
        <w:t>☐ RLS prevents a user from reading or changing another SACCO’s records.</w:t>
      </w:r>
    </w:p>
    <w:p>
      <w:r>
        <w:t>☐ No public Super Admin signup exists.</w:t>
      </w:r>
    </w:p>
    <w:p>
      <w:r>
        <w:t>☐ No secrets are present in frontend code or committed files.</w:t>
      </w:r>
    </w:p>
    <w:p>
      <w:r>
        <w:t>☐ No fake payment success, real financial posting or live SMS is claimed.</w:t>
      </w:r>
    </w:p>
    <w:p>
      <w:r>
        <w:t>☐ Build checks are run and failures are reported honestly.</w:t>
      </w:r>
    </w:p>
    <w:p>
      <w:r>
        <w:t>☐ Setup, environment variables and deployment steps are documented.</w:t>
      </w:r>
    </w:p>
    <w:p>
      <w:pPr>
        <w:pStyle w:val="Heading1"/>
      </w:pPr>
      <w:r>
        <w:t>12. Official references</w:t>
      </w:r>
    </w:p>
    <w:p>
      <w:r>
        <w:t>Lovable: https://lovable.dev/</w:t>
      </w:r>
    </w:p>
    <w:p>
      <w:r>
        <w:t>ioTec Pay API docs: https://pay.iotec.io/api-docs/index.html</w:t>
      </w:r>
    </w:p>
    <w:p>
      <w:r>
        <w:t>ioTec Messaging API docs: https://www.messaging-api.iotec.io/api-docs/index.html</w:t>
      </w:r>
    </w:p>
    <w:p>
      <w:r>
        <w:t>ioTec Pay product: https://iotec.io/products/pay</w:t>
      </w:r>
    </w:p>
    <w:p>
      <w:pPr>
        <w:pStyle w:val="Heading1"/>
      </w:pPr>
      <w:r>
        <w:t>13. Next-stage rule</w:t>
      </w:r>
    </w:p>
    <w:p>
      <w:r>
        <w:t>Do not start Stage 2 until the Stage 1 acceptance checklist has been reviewed. Stage 2 will implement tenant onboarding, subscription lifecycle and secure workspace creation.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16A"/>
        <w:sz w:val="16"/>
      </w:rPr>
      <w:t>FlexSACCO • Stage 1 Blueprint • Working specification — verify before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CAF67"/>
        <w:sz w:val="16"/>
      </w:rPr>
      <w:t>FLEXSACCO  /  LOVABLE IMPLEMENTATION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5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D3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3D3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CAF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D3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