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FLEXSACCO</w:t>
      </w:r>
    </w:p>
    <w:p>
      <w:r>
        <w:rPr>
          <w:b/>
          <w:color w:val="2D7650"/>
          <w:sz w:val="36"/>
        </w:rPr>
        <w:t>STAGE 4 BLUEPRINT</w:t>
      </w:r>
    </w:p>
    <w:p>
      <w:r>
        <w:t>Cash, Bank Payments, Mobile Money, Savings &amp; Shares</w:t>
      </w:r>
    </w:p>
    <w:p>
      <w:pPr>
        <w:spacing w:after="80"/>
      </w:pPr>
      <w:r>
        <w:t>Copy-ready Lovable implementation guide. Extend the existing Stages 1–3 project; do not rebuild it from scratch.</w:t>
      </w:r>
    </w:p>
    <w:p>
      <w:pPr>
        <w:spacing w:after="80"/>
      </w:pPr>
      <w:r>
        <w:t>Version 1.0 | Uganda-focused multi-tenant SaaS | Default currency: UGX</w:t>
      </w:r>
    </w:p>
    <w:p>
      <w:pPr>
        <w:pStyle w:val="Heading1"/>
      </w:pPr>
      <w:r>
        <w:t>1. Objective</w:t>
      </w:r>
    </w:p>
    <w:p>
      <w:pPr>
        <w:spacing w:after="80"/>
      </w:pPr>
      <w:r>
        <w:t>Add money-related member workflows: record cash receipts, track mobile-money intents, manage savings deposits/withdrawals and share purchases/redemptions, issue receipts and display accurate balances. Cash, MTN MoMo and Airtel Money must remain distinct channels/accounts. This stage must not pretend that a payment provider has confirmed a transaction.</w:t>
      </w:r>
    </w:p>
    <w:p>
      <w:pPr>
        <w:pStyle w:val="Heading1"/>
      </w:pPr>
      <w:r>
        <w:t>2. Critical payment boundary</w:t>
      </w:r>
    </w:p>
    <w:p>
      <w:pPr>
        <w:spacing w:after="80"/>
      </w:pPr>
      <w:r>
        <w:t>Authorized staff may record physical cash received under SACCO policy. A mobile-money transaction must remain pending until a trusted verification path confirms it. Live ioTec integration, callbacks and SMS belong to Stage 7.</w:t>
      </w:r>
    </w:p>
    <w:p>
      <w:pPr>
        <w:pStyle w:val="ListBullet"/>
        <w:spacing w:after="40"/>
      </w:pPr>
      <w:r>
        <w:t>Cash: record only when authorized staff confirms physical receipt; capture cashier, receipt number, timestamp and cash account.</w:t>
      </w:r>
    </w:p>
    <w:p>
      <w:pPr>
        <w:pStyle w:val="ListBullet"/>
        <w:spacing w:after="40"/>
      </w:pPr>
      <w:r>
        <w:t>MTN MoMo and Airtel Money: create pending payment intents; do not increase cleared savings/shares until verified. Bank transfers: record as pending/unmatched until confirmed through an authorized bank statement/reconciliation process or trusted bank integration; a typed reference alone is not proof of payment.</w:t>
      </w:r>
    </w:p>
    <w:p>
      <w:pPr>
        <w:pStyle w:val="ListBullet"/>
        <w:spacing w:after="40"/>
      </w:pPr>
      <w:r>
        <w:t>If manual verification is allowed, label it MANUAL verification, require permission, verifier, evidence/reference and reason, and audit it. Never describe it as provider-verified.</w:t>
      </w:r>
    </w:p>
    <w:p>
      <w:pPr>
        <w:pStyle w:val="ListBullet"/>
        <w:spacing w:after="40"/>
      </w:pPr>
      <w:r>
        <w:t>Unmatched or uncertain transactions go to an exception/reconciliation queue; do not credit balances automatically.</w:t>
      </w:r>
    </w:p>
    <w:p>
      <w:pPr>
        <w:pStyle w:val="Heading1"/>
      </w:pPr>
      <w:r>
        <w:t>3. Scope</w:t>
      </w:r>
    </w:p>
    <w:p>
      <w:pPr>
        <w:pStyle w:val="Heading2"/>
      </w:pPr>
      <w:r>
        <w:t>Included</w:t>
      </w:r>
    </w:p>
    <w:p>
      <w:pPr>
        <w:pStyle w:val="ListBullet"/>
        <w:spacing w:after="40"/>
      </w:pPr>
      <w:r>
        <w:t>Member savings and shares tabs with balance/holdings and transaction history.</w:t>
      </w:r>
    </w:p>
    <w:p>
      <w:pPr>
        <w:pStyle w:val="ListBullet"/>
        <w:spacing w:after="40"/>
      </w:pPr>
      <w:r>
        <w:t>Cash receipt entry; bank deposit/transfer recording; savings deposit; withdrawal request, approval and payout workflow.</w:t>
      </w:r>
    </w:p>
    <w:p>
      <w:pPr>
        <w:pStyle w:val="ListBullet"/>
        <w:spacing w:after="40"/>
      </w:pPr>
      <w:r>
        <w:t>MTN MoMo and Airtel Money intent/reference tracking with pending, verified, failed, cancelled, expired and reversed states; bank transfer recording with pending, confirmed, unmatched, rejected and reversed states; no live bank API in this stage.</w:t>
      </w:r>
    </w:p>
    <w:p>
      <w:pPr>
        <w:pStyle w:val="ListBullet"/>
        <w:spacing w:after="40"/>
      </w:pPr>
      <w:r>
        <w:t>Share purchase and redemption workflows with configurable rules and approvals.</w:t>
      </w:r>
    </w:p>
    <w:p>
      <w:pPr>
        <w:pStyle w:val="ListBullet"/>
        <w:spacing w:after="40"/>
      </w:pPr>
      <w:r>
        <w:t>Server-generated receipts, date/channel/status filters, printable receipts and audit trail.</w:t>
      </w:r>
    </w:p>
    <w:p>
      <w:pPr>
        <w:pStyle w:val="ListBullet"/>
        <w:spacing w:after="40"/>
      </w:pPr>
      <w:r>
        <w:t>Idempotency and duplicate protection; corrections through linked reversals, not deletion.</w:t>
      </w:r>
    </w:p>
    <w:p>
      <w:pPr>
        <w:pStyle w:val="ListBullet"/>
        <w:spacing w:after="40"/>
      </w:pPr>
      <w:r>
        <w:t>Daily cash and channel totals for operational review, clearly not presented as full accounting reports.</w:t>
      </w:r>
    </w:p>
    <w:p>
      <w:pPr>
        <w:pStyle w:val="Heading2"/>
      </w:pPr>
      <w:r>
        <w:t>Not included</w:t>
      </w:r>
    </w:p>
    <w:p>
      <w:pPr>
        <w:pStyle w:val="ListBullet"/>
        <w:spacing w:after="40"/>
      </w:pPr>
      <w:r>
        <w:t>Live ioTec payment initiation/callback verification/SMS (Stage 7).</w:t>
      </w:r>
    </w:p>
    <w:p>
      <w:pPr>
        <w:pStyle w:val="ListBullet"/>
        <w:spacing w:after="40"/>
      </w:pPr>
      <w:r>
        <w:t>Loans and guarantors (Stage 5).</w:t>
      </w:r>
    </w:p>
    <w:p>
      <w:pPr>
        <w:pStyle w:val="ListBullet"/>
        <w:spacing w:after="40"/>
      </w:pPr>
      <w:r>
        <w:t>Full double-entry general ledger, trial balance and financial statements (Stage 6).</w:t>
      </w:r>
    </w:p>
    <w:p>
      <w:pPr>
        <w:pStyle w:val="ListBullet"/>
        <w:spacing w:after="40"/>
      </w:pPr>
      <w:r>
        <w:t>Automatic posting from unverified mobile-money notifications.</w:t>
      </w:r>
    </w:p>
    <w:p>
      <w:pPr>
        <w:pStyle w:val="Heading1"/>
      </w:pPr>
      <w:r>
        <w:t>4. Financial integrity rules</w:t>
      </w:r>
    </w:p>
    <w:p>
      <w:pPr>
        <w:pStyle w:val="ListBullet"/>
        <w:spacing w:after="40"/>
      </w:pPr>
      <w:r>
        <w:t>Use integer minor units or fixed-precision numeric for money; never floating-point. Keep currency explicit; default UGX.</w:t>
      </w:r>
    </w:p>
    <w:p>
      <w:pPr>
        <w:pStyle w:val="ListBullet"/>
        <w:spacing w:after="40"/>
      </w:pPr>
      <w:r>
        <w:t>Amounts must be positive and validated server-side against member status, permissions, limits and transaction type.</w:t>
      </w:r>
    </w:p>
    <w:p>
      <w:pPr>
        <w:pStyle w:val="ListBullet"/>
        <w:spacing w:after="40"/>
      </w:pPr>
      <w:r>
        <w:t>Posted transactions are immutable. Correct mistakes with an authorized linked reversal/correction and reason.</w:t>
      </w:r>
    </w:p>
    <w:p>
      <w:pPr>
        <w:pStyle w:val="ListBullet"/>
        <w:spacing w:after="40"/>
      </w:pPr>
      <w:r>
        <w:t>Every transaction needs unique ID, tenant, member, amount, currency, type, channel, status, actor and timestamps.</w:t>
      </w:r>
    </w:p>
    <w:p>
      <w:pPr>
        <w:pStyle w:val="ListBullet"/>
        <w:spacing w:after="40"/>
      </w:pPr>
      <w:r>
        <w:t>Generate receipt numbers server-side and enforce tenant-scoped uniqueness.</w:t>
      </w:r>
    </w:p>
    <w:p>
      <w:pPr>
        <w:pStyle w:val="ListBullet"/>
        <w:spacing w:after="40"/>
      </w:pPr>
      <w:r>
        <w:t>Use idempotency keys and unique provider references to prevent double submissions/double crediting.</w:t>
      </w:r>
    </w:p>
    <w:p>
      <w:pPr>
        <w:pStyle w:val="ListBullet"/>
        <w:spacing w:after="40"/>
      </w:pPr>
      <w:r>
        <w:t>Maintain separate CASH, BANK, MTN_MOMO and AIRTEL_MONEY channels/accounts. Allow each SACCO to configure multiple bank accounts with bank name, account nickname, masked account number and currency; restrict sensitive account details by role.</w:t>
      </w:r>
    </w:p>
    <w:p>
      <w:pPr>
        <w:pStyle w:val="ListBullet"/>
        <w:spacing w:after="40"/>
      </w:pPr>
      <w:r>
        <w:t>Pending mobile-money intents and unconfirmed bank transfers never affect cleared balances.</w:t>
      </w:r>
    </w:p>
    <w:p>
      <w:pPr>
        <w:pStyle w:val="ListBullet"/>
        <w:spacing w:after="40"/>
      </w:pPr>
      <w:r>
        <w:t>Enforce approval thresholds and separation of duties for withdrawals/redemptions; where required, requester cannot approve their own request.</w:t>
      </w:r>
    </w:p>
    <w:p>
      <w:pPr>
        <w:pStyle w:val="ListBullet"/>
        <w:spacing w:after="40"/>
      </w:pPr>
      <w:r>
        <w:t>Audit state changes with actor, approver, source/reason and timestamps; do not log secrets or unnecessary personal data.</w:t>
      </w:r>
    </w:p>
    <w:p>
      <w:pPr>
        <w:pStyle w:val="Heading1"/>
      </w:pPr>
      <w:r>
        <w:t>5. Workflows</w:t>
      </w:r>
    </w:p>
    <w:p>
      <w:pPr>
        <w:pStyle w:val="Heading2"/>
      </w:pPr>
      <w:r>
        <w:t>A. Cash savings deposit</w:t>
      </w:r>
    </w:p>
    <w:p>
      <w:pPr>
        <w:pStyle w:val="ListNumber"/>
        <w:spacing w:after="40"/>
      </w:pPr>
      <w:r>
        <w:t>Authorized cashier selects an active member, chooses Savings Deposit and selects CASH as the channel.</w:t>
      </w:r>
    </w:p>
    <w:p>
      <w:pPr>
        <w:pStyle w:val="ListNumber"/>
        <w:spacing w:after="40"/>
      </w:pPr>
      <w:r>
        <w:t>Server validates tenant, member status, amount, permission and policy limits.</w:t>
      </w:r>
    </w:p>
    <w:p>
      <w:pPr>
        <w:pStyle w:val="ListNumber"/>
        <w:spacing w:after="40"/>
      </w:pPr>
      <w:r>
        <w:t>Cashier confirms physical cash was received; server posts the receipt with a unique receipt number.</w:t>
      </w:r>
    </w:p>
    <w:p>
      <w:pPr>
        <w:pStyle w:val="ListNumber"/>
        <w:spacing w:after="40"/>
      </w:pPr>
      <w:r>
        <w:t>Update the balance through a safe transaction/balance mechanism and record an audit event.</w:t>
      </w:r>
    </w:p>
    <w:p>
      <w:pPr>
        <w:pStyle w:val="ListNumber"/>
        <w:spacing w:after="40"/>
      </w:pPr>
      <w:r>
        <w:t>Display/print SACCO, member number/name, amount, currency, timestamp, receipt number, channel and cashier.</w:t>
      </w:r>
    </w:p>
    <w:p>
      <w:pPr>
        <w:pStyle w:val="Heading2"/>
      </w:pPr>
      <w:r>
        <w:t>B. Mobile-money deposit</w:t>
      </w:r>
    </w:p>
    <w:p>
      <w:pPr>
        <w:pStyle w:val="ListNumber"/>
        <w:spacing w:after="40"/>
      </w:pPr>
      <w:r>
        <w:t>Authorized user creates an intent for a member, amount and explicit channel (MTN MoMo or Airtel Money). Bank payments are recorded through a separate bank-transaction workflow.</w:t>
      </w:r>
    </w:p>
    <w:p>
      <w:pPr>
        <w:pStyle w:val="ListNumber"/>
        <w:spacing w:after="40"/>
      </w:pPr>
      <w:r>
        <w:t>Server assigns a unique internal reference and sets status to pending; balance remains unchanged.</w:t>
      </w:r>
    </w:p>
    <w:p>
      <w:pPr>
        <w:pStyle w:val="ListNumber"/>
        <w:spacing w:after="40"/>
      </w:pPr>
      <w:r>
        <w:t>Stage 4 may store a provider reference and a permissioned manual-verification flow if policy permits.</w:t>
      </w:r>
    </w:p>
    <w:p>
      <w:pPr>
        <w:pStyle w:val="ListNumber"/>
        <w:spacing w:after="40"/>
      </w:pPr>
      <w:r>
        <w:t>Only trusted verification may mark the intent verified and post the related savings/share transaction exactly once.</w:t>
      </w:r>
    </w:p>
    <w:p>
      <w:pPr>
        <w:pStyle w:val="ListNumber"/>
        <w:spacing w:after="40"/>
      </w:pPr>
      <w:r>
        <w:t>Failed/cancelled/expired intents do not credit balances; future repeated callbacks must not double-post.</w:t>
      </w:r>
    </w:p>
    <w:p>
      <w:pPr>
        <w:pStyle w:val="Heading2"/>
      </w:pPr>
      <w:r>
        <w:t>C. Savings withdrawal</w:t>
      </w:r>
    </w:p>
    <w:p>
      <w:pPr>
        <w:pStyle w:val="ListNumber"/>
        <w:spacing w:after="40"/>
      </w:pPr>
      <w:r>
        <w:t>Create a withdrawal request and confirm member identity.</w:t>
      </w:r>
    </w:p>
    <w:p>
      <w:pPr>
        <w:pStyle w:val="ListNumber"/>
        <w:spacing w:after="40"/>
      </w:pPr>
      <w:r>
        <w:t>Server checks cleared balance, member status, policy limits and approval requirements.</w:t>
      </w:r>
    </w:p>
    <w:p>
      <w:pPr>
        <w:pStyle w:val="ListNumber"/>
        <w:spacing w:after="40"/>
      </w:pPr>
      <w:r>
        <w:t>Request remains pending until required authorized approval; separate requester and approver where policy requires.</w:t>
      </w:r>
    </w:p>
    <w:p>
      <w:pPr>
        <w:pStyle w:val="ListNumber"/>
        <w:spacing w:after="40"/>
      </w:pPr>
      <w:r>
        <w:t>After approval and payout confirmation, post once, record payout channel/reference and update balance.</w:t>
      </w:r>
    </w:p>
    <w:p>
      <w:pPr>
        <w:pStyle w:val="ListNumber"/>
        <w:spacing w:after="40"/>
      </w:pPr>
      <w:r>
        <w:t>Rejected requests remain in history with approver, timestamp and reason; no balance change.</w:t>
      </w:r>
    </w:p>
    <w:p>
      <w:pPr>
        <w:pStyle w:val="Heading2"/>
      </w:pPr>
      <w:r>
        <w:t>D. Shares</w:t>
      </w:r>
    </w:p>
    <w:p>
      <w:pPr>
        <w:pStyle w:val="ListNumber"/>
        <w:spacing w:after="40"/>
      </w:pPr>
      <w:r>
        <w:t>Validate units/amount against configured share rules and effective share price.</w:t>
      </w:r>
    </w:p>
    <w:p>
      <w:pPr>
        <w:pStyle w:val="ListNumber"/>
        <w:spacing w:after="40"/>
      </w:pPr>
      <w:r>
        <w:t>Record purchase only after funds are accepted/verified; redemption requires policy checks and approval.</w:t>
      </w:r>
    </w:p>
    <w:p>
      <w:pPr>
        <w:pStyle w:val="ListNumber"/>
        <w:spacing w:after="40"/>
      </w:pPr>
      <w:r>
        <w:t>Store units, unit price, amount and effective rule/price snapshot so future rule changes do not rewrite history.</w:t>
      </w:r>
    </w:p>
    <w:p>
      <w:pPr>
        <w:pStyle w:val="Heading1"/>
      </w:pPr>
      <w:r>
        <w:t>6. Suggested data model</w:t>
      </w:r>
    </w:p>
    <w:p>
      <w:pPr>
        <w:spacing w:after="80"/>
      </w:pPr>
      <w:r>
        <w:t>Inspect Stage 1–3 schema first and reuse tenant, membership, member, role and audit tables. Names below are illustrative; add migrations only where equivalent tables do not exist.</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23D31"/>
          </w:tcPr>
          <w:p>
            <w:r>
              <w:t>Entity</w:t>
            </w:r>
          </w:p>
        </w:tc>
        <w:tc>
          <w:tcPr>
            <w:tcW w:type="dxa" w:w="3360"/>
            <w:vAlign w:val="center"/>
            <w:shd w:fill="123D31"/>
          </w:tcPr>
          <w:p>
            <w:r>
              <w:t>Illustrative fields</w:t>
            </w:r>
          </w:p>
        </w:tc>
        <w:tc>
          <w:tcPr>
            <w:tcW w:type="dxa" w:w="3360"/>
            <w:vAlign w:val="center"/>
            <w:shd w:fill="123D31"/>
          </w:tcPr>
          <w:p>
            <w:r>
              <w:t>Controls</w:t>
            </w:r>
          </w:p>
        </w:tc>
      </w:tr>
      <w:tr>
        <w:tc>
          <w:tcPr>
            <w:tcW w:type="dxa" w:w="3360"/>
            <w:vAlign w:val="center"/>
          </w:tcPr>
          <w:p>
            <w:r>
              <w:t>member_savings_accounts</w:t>
            </w:r>
          </w:p>
        </w:tc>
        <w:tc>
          <w:tcPr>
            <w:tcW w:type="dxa" w:w="3360"/>
            <w:vAlign w:val="center"/>
          </w:tcPr>
          <w:p>
            <w:r>
              <w:t>id, tenant_id, member_id, account_number, status, opened_at</w:t>
            </w:r>
          </w:p>
        </w:tc>
        <w:tc>
          <w:tcPr>
            <w:tcW w:type="dxa" w:w="3360"/>
            <w:vAlign w:val="center"/>
          </w:tcPr>
          <w:p>
            <w:r>
              <w:t>Unique account number per tenant; avoid unnecessary account types.</w:t>
            </w:r>
          </w:p>
        </w:tc>
      </w:tr>
      <w:tr>
        <w:tc>
          <w:tcPr>
            <w:tcW w:type="dxa" w:w="3360"/>
            <w:vAlign w:val="center"/>
          </w:tcPr>
          <w:p>
            <w:r>
              <w:t>member_share_accounts</w:t>
            </w:r>
          </w:p>
        </w:tc>
        <w:tc>
          <w:tcPr>
            <w:tcW w:type="dxa" w:w="3360"/>
            <w:vAlign w:val="center"/>
          </w:tcPr>
          <w:p>
            <w:r>
              <w:t>id, tenant_id, member_id, status, opened_at</w:t>
            </w:r>
          </w:p>
        </w:tc>
        <w:tc>
          <w:tcPr>
            <w:tcW w:type="dxa" w:w="3360"/>
            <w:vAlign w:val="center"/>
          </w:tcPr>
          <w:p>
            <w:r>
              <w:t>Holdings derive from posted share transactions.</w:t>
            </w:r>
          </w:p>
        </w:tc>
      </w:tr>
      <w:tr>
        <w:tc>
          <w:tcPr>
            <w:tcW w:type="dxa" w:w="3360"/>
            <w:vAlign w:val="center"/>
          </w:tcPr>
          <w:p>
            <w:r>
              <w:t>financial_transactions</w:t>
            </w:r>
          </w:p>
        </w:tc>
        <w:tc>
          <w:tcPr>
            <w:tcW w:type="dxa" w:w="3360"/>
            <w:vAlign w:val="center"/>
          </w:tcPr>
          <w:p>
            <w:r>
              <w:t>id, tenant_id, member_id, type, product_type, amount_minor/numeric, currency, channel, status, receipt_number, idempotency_key, created_by, approved_by, posted_at, reversed_transaction_id</w:t>
            </w:r>
          </w:p>
        </w:tc>
        <w:tc>
          <w:tcPr>
            <w:tcW w:type="dxa" w:w="3360"/>
            <w:vAlign w:val="center"/>
          </w:tcPr>
          <w:p>
            <w:r>
              <w:t>Immutable after posting; unique receipt/idempotency constraints.</w:t>
            </w:r>
          </w:p>
        </w:tc>
      </w:tr>
      <w:tr>
        <w:tc>
          <w:tcPr>
            <w:tcW w:type="dxa" w:w="3360"/>
            <w:vAlign w:val="center"/>
          </w:tcPr>
          <w:p>
            <w:r>
              <w:t>payment_intents</w:t>
            </w:r>
          </w:p>
        </w:tc>
        <w:tc>
          <w:tcPr>
            <w:tcW w:type="dxa" w:w="3360"/>
            <w:vAlign w:val="center"/>
          </w:tcPr>
          <w:p>
            <w:r>
              <w:t>id, tenant_id, member_id, channel, amount, currency, internal_reference, provider_reference, status, expires_at, verified_at, verification_source, created_by</w:t>
            </w:r>
          </w:p>
        </w:tc>
        <w:tc>
          <w:tcPr>
            <w:tcW w:type="dxa" w:w="3360"/>
            <w:vAlign w:val="center"/>
          </w:tcPr>
          <w:p>
            <w:r>
              <w:t>MTN/Airtel separate; pending never affects cleared balance.</w:t>
            </w:r>
          </w:p>
        </w:tc>
      </w:tr>
      <w:tr>
        <w:tc>
          <w:tcPr>
            <w:tcW w:type="dxa" w:w="3360"/>
            <w:vAlign w:val="center"/>
          </w:tcPr>
          <w:p>
            <w:r>
              <w:t>savings_requests</w:t>
            </w:r>
          </w:p>
        </w:tc>
        <w:tc>
          <w:tcPr>
            <w:tcW w:type="dxa" w:w="3360"/>
            <w:vAlign w:val="center"/>
          </w:tcPr>
          <w:p>
            <w:r>
              <w:t>id, tenant_id, member_id, type, amount, status, requested_by, approved_by, reason, requested_at, decided_at</w:t>
            </w:r>
          </w:p>
        </w:tc>
        <w:tc>
          <w:tcPr>
            <w:tcW w:type="dxa" w:w="3360"/>
            <w:vAlign w:val="center"/>
          </w:tcPr>
          <w:p>
            <w:r>
              <w:t>Approval and separation-of-duties rules.</w:t>
            </w:r>
          </w:p>
        </w:tc>
      </w:tr>
      <w:tr>
        <w:tc>
          <w:tcPr>
            <w:tcW w:type="dxa" w:w="3360"/>
            <w:vAlign w:val="center"/>
          </w:tcPr>
          <w:p>
            <w:r>
              <w:t>share_transactions</w:t>
            </w:r>
          </w:p>
        </w:tc>
        <w:tc>
          <w:tcPr>
            <w:tcW w:type="dxa" w:w="3360"/>
            <w:vAlign w:val="center"/>
          </w:tcPr>
          <w:p>
            <w:r>
              <w:t>id, tenant_id, member_id, type, units, unit_price, amount, status, financial_transaction_id</w:t>
            </w:r>
          </w:p>
        </w:tc>
        <w:tc>
          <w:tcPr>
            <w:tcW w:type="dxa" w:w="3360"/>
            <w:vAlign w:val="center"/>
          </w:tcPr>
          <w:p>
            <w:r>
              <w:t>Only posted transactions affect holdings.</w:t>
            </w:r>
          </w:p>
        </w:tc>
      </w:tr>
      <w:tr>
        <w:tc>
          <w:tcPr>
            <w:tcW w:type="dxa" w:w="3360"/>
            <w:vAlign w:val="center"/>
          </w:tcPr>
          <w:p>
            <w:r>
              <w:t>transaction_reversals</w:t>
            </w:r>
          </w:p>
        </w:tc>
        <w:tc>
          <w:tcPr>
            <w:tcW w:type="dxa" w:w="3360"/>
            <w:vAlign w:val="center"/>
          </w:tcPr>
          <w:p>
            <w:r>
              <w:t>id, tenant_id, original_transaction_id, reversal_transaction_id, reason, created_by, approved_by, created_at</w:t>
            </w:r>
          </w:p>
        </w:tc>
        <w:tc>
          <w:tcPr>
            <w:tcW w:type="dxa" w:w="3360"/>
            <w:vAlign w:val="center"/>
          </w:tcPr>
          <w:p>
            <w:r>
              <w:t>Never hard-delete a posted transaction.</w:t>
            </w:r>
          </w:p>
        </w:tc>
      </w:tr>
      <w:tr>
        <w:tc>
          <w:tcPr>
            <w:tcW w:type="dxa" w:w="3360"/>
            <w:vAlign w:val="center"/>
          </w:tcPr>
          <w:p>
            <w:r>
              <w:t>audit_events</w:t>
            </w:r>
          </w:p>
        </w:tc>
        <w:tc>
          <w:tcPr>
            <w:tcW w:type="dxa" w:w="3360"/>
            <w:vAlign w:val="center"/>
          </w:tcPr>
          <w:p>
            <w:r>
              <w:t>reuse existing audit table</w:t>
            </w:r>
          </w:p>
        </w:tc>
        <w:tc>
          <w:tcPr>
            <w:tcW w:type="dxa" w:w="3360"/>
            <w:vAlign w:val="center"/>
          </w:tcPr>
          <w:p>
            <w:r>
              <w:t>Record actions and important state transitions.</w:t>
            </w:r>
          </w:p>
        </w:tc>
      </w:tr>
      <w:tr>
        <w:tc>
          <w:tcPr>
            <w:tcW w:type="dxa" w:w="3360"/>
          </w:tcPr>
          <w:p>
            <w:r>
              <w:t>sacco_bank_accounts / bank_transactions / bank_statement_lines</w:t>
            </w:r>
          </w:p>
        </w:tc>
        <w:tc>
          <w:tcPr>
            <w:tcW w:type="dxa" w:w="3360"/>
          </w:tcPr>
          <w:p>
            <w:r>
              <w:t>bank account: id, tenant_id, bank_name, nickname, masked_account_number, currency, status; transaction: id, tenant_id, bank_account_id, direction, amount, currency, bank_reference, status, evidence_ref, entered_by, verified_by, timestamps</w:t>
            </w:r>
          </w:p>
        </w:tc>
        <w:tc>
          <w:tcPr>
            <w:tcW w:type="dxa" w:w="3360"/>
          </w:tcPr>
          <w:p>
            <w:r>
              <w:t>Tenant-scoped; unique bank reference where appropriate; mask sensitive account details; pending/unmatched by default; reviewer permissions; duplicate detection and auditable reconciliation.</w:t>
            </w:r>
          </w:p>
        </w:tc>
      </w:tr>
    </w:tbl>
    <w:p>
      <w:pPr>
        <w:spacing w:after="80"/>
      </w:pPr>
      <w:r>
        <w:t>Do not store calculated balances as the only source of truth. Prefer deriving them from posted transactions or updating a cached balance atomically with the transaction, with reconciliation checks. The client must never set a balance.</w:t>
      </w:r>
    </w:p>
    <w:p>
      <w:pPr>
        <w:pStyle w:val="Heading1"/>
      </w:pPr>
      <w:r>
        <w:t>7. UI requirements</w:t>
      </w:r>
    </w:p>
    <w:p>
      <w:pPr>
        <w:pStyle w:val="ListBullet"/>
        <w:spacing w:after="40"/>
      </w:pPr>
      <w:r>
        <w:t>Add Savings and Shares tabs to member profiles and a role-protected cashier/transactions area.</w:t>
      </w:r>
    </w:p>
    <w:p>
      <w:pPr>
        <w:pStyle w:val="ListBullet"/>
        <w:spacing w:after="40"/>
      </w:pPr>
      <w:r>
        <w:t>Clearly distinguish Cash, MTN Mobile Money and Airtel Money with text labels, not color alone.</w:t>
      </w:r>
    </w:p>
    <w:p>
      <w:pPr>
        <w:pStyle w:val="ListBullet"/>
        <w:spacing w:after="40"/>
      </w:pPr>
      <w:r>
        <w:t>Transaction list shows receipt/reference, member, type, amount, channel, status, timestamp and allowed actions.</w:t>
      </w:r>
    </w:p>
    <w:p>
      <w:pPr>
        <w:pStyle w:val="ListBullet"/>
        <w:spacing w:after="40"/>
      </w:pPr>
      <w:r>
        <w:t>Pending mobile-money intents and unconfirmed bank transfers say “Pending — not yet credited”; failed/expired/rejected items show no credit.</w:t>
      </w:r>
    </w:p>
    <w:p>
      <w:pPr>
        <w:pStyle w:val="ListBullet"/>
        <w:spacing w:after="40"/>
      </w:pPr>
      <w:r>
        <w:t>Printable receipts contain SACCO identity, member number, amount/currency, timestamp, channel, receipt number and operator.</w:t>
      </w:r>
    </w:p>
    <w:p>
      <w:pPr>
        <w:pStyle w:val="ListBullet"/>
        <w:spacing w:after="40"/>
      </w:pPr>
      <w:r>
        <w:t>Withdrawals, redemptions, reversals and manual verification require confirmation and reason where appropriate.</w:t>
      </w:r>
    </w:p>
    <w:p>
      <w:pPr>
        <w:pStyle w:val="ListBullet"/>
        <w:spacing w:after="40"/>
      </w:pPr>
      <w:r>
        <w:t>Preserve Stages 1–3 routes/design; support phone, tablet and desktop with accessible forms and useful loading/empty/error states.</w:t>
      </w:r>
    </w:p>
    <w:p>
      <w:pPr>
        <w:pStyle w:val="Heading1"/>
      </w:pPr>
      <w:r>
        <w:t>8. Copy-ready Lovable prompt</w:t>
      </w:r>
    </w:p>
    <w:tbl>
      <w:tblPr>
        <w:tblW w:type="auto" w:w="0"/>
        <w:tblLook w:firstColumn="1" w:firstRow="1" w:lastColumn="0" w:lastRow="0" w:noHBand="0" w:noVBand="1" w:val="04A0"/>
      </w:tblPr>
      <w:tblGrid>
        <w:gridCol w:w="10080"/>
      </w:tblGrid>
      <w:tr>
        <w:tc>
          <w:tcPr>
            <w:tcW w:type="dxa" w:w="10080"/>
            <w:shd w:fill="F2F7F3"/>
          </w:tcPr>
          <w:p>
            <w:r>
              <w:t>Implement Stage 4 of FlexSACCO in the EXISTING project. First inspect Stages 1–3 schema, member module, auth/roles, RLS, audit events and design system. Extend existing components and migrations; do not rebuild the app or duplicate existing tables.</w:t>
              <w:br/>
              <w:br/>
              <w:t>Build Cash, Bank, MTN MoMo and Airtel Money payment-channel workflows for savings and shares. Keep these as distinct channels and financial accounts. Allow each SACCO to configure one or more bank accounts (bank name, account nickname, masked account number, currency and active status). Never expose full bank details to unauthorized roles.</w:t>
              <w:br/>
              <w:br/>
              <w:t>CASH: authorized staff may post a receipt only after confirming physical cash was received. Generate receipt numbers server-side and uniquely per SACCO.</w:t>
              <w:br/>
              <w:br/>
              <w:t>BANK: provide an authorized bank-transaction screen for incoming deposits/transfers and outgoing payments. Capture bank account, direction, transaction date, amount/currency, payer/payee, bank reference, purpose, evidence/statement reference, entered-by and status. New or manually entered bank transactions must default to PENDING/UNMATCHED and must not change cleared member balances until a permitted authorized reviewer confirms them against reliable evidence or bank reconciliation. A typed reference alone is not proof. Record the verifier, timestamp, evidence and reason. Support statement-line matching, unmatched items, duplicate-reference warnings and reconciliation status. Do not claim a live bank API integration; none is included in this stage.</w:t>
              <w:br/>
              <w:br/>
              <w:t>MTN MOMO and AIRTEL MONEY: create pending intents only; do not credit savings/shares until trusted provider verification. Stage 4 does not implement live ioTec calls. Never treat a user-entered reference as provider confirmation.</w:t>
              <w:br/>
              <w:br/>
              <w:t>Savings: deposits, withdrawal requests, policy checks, approvals and payout confirmation. Shares: purchases, units and effective unit price, redemption requests and approval. Apply SACCO-configured rules and approval thresholds; where required, requester cannot approve their own request.</w:t>
              <w:br/>
              <w:br/>
              <w:t>Security and integrity: enforce tenant_id on every row and operation; use RLS plus server-side authorization; never trust tenant IDs or amounts from the browser. Validate member status, channel, account, permissions and limits server-side. Use exact numeric/integer minor-unit money handling, unique tenant-scoped receipt numbers, idempotency keys and unique provider/bank references where appropriate. Perform transaction and balance updates atomically. Pending/unmatched transactions never affect cleared balances. Posted records are immutable; correct them with linked, permissioned reversals and reasons. Log auditable state changes without storing secrets.</w:t>
              <w:br/>
              <w:br/>
              <w:t>UI: responsive phone/tablet/desktop screens using existing FlexSACCO green-and-white design. Display channel and status as text, not color alone. Add filters for date, member, channel, account, type and status; printable receipts; bank reconciliation/unmatched-items view; and clear pending/uncredited labels. Keep operational totals separate from formal financial statements until Stage 6 accounting is implemented.</w:t>
              <w:br/>
              <w:br/>
              <w:t>Before finishing, run database/type checks and test: tenant isolation; cash receipt; pending then confirmed bank transfer; unmatched bank item; duplicate bank reference; failed/unconfirmed transfer does not credit; pending mobile-money intent does not credit; withdrawal approval; duplicate submission; reversal; and unauthorized role access. Preserve all Stage 1–3 functionality. Report what is implemented, migrations created, tests run, failures, and any manual setup still required. Do not claim tests passed unless actually run.</w:t>
            </w:r>
          </w:p>
        </w:tc>
      </w:tr>
    </w:tbl>
    <w:p/>
    <w:p>
      <w:pPr>
        <w:pStyle w:val="Heading1"/>
      </w:pPr>
      <w:r>
        <w:t>9. Acceptance checklist</w:t>
      </w:r>
    </w:p>
    <w:p>
      <w:pPr>
        <w:pStyle w:val="ListBullet"/>
        <w:spacing w:after="40"/>
      </w:pPr>
      <w:r>
        <w:t>☐ Cash, Bank, MTN MoMo and Airtel Money are distinct channels/accounts; multiple bank accounts can be configured per SACCO.</w:t>
      </w:r>
    </w:p>
    <w:p>
      <w:pPr>
        <w:pStyle w:val="ListBullet"/>
        <w:spacing w:after="40"/>
      </w:pPr>
      <w:r>
        <w:t>☐ Cash receipt requires authorization and unique server-generated receipt.</w:t>
      </w:r>
    </w:p>
    <w:p>
      <w:pPr>
        <w:pStyle w:val="ListBullet"/>
        <w:spacing w:after="40"/>
      </w:pPr>
      <w:r>
        <w:t>☐ Mobile-money intents stay pending until trusted verification; bank transfers stay pending until authorized confirmation/reconciliation.</w:t>
      </w:r>
    </w:p>
    <w:p>
      <w:pPr>
        <w:pStyle w:val="ListBullet"/>
        <w:spacing w:after="40"/>
      </w:pPr>
      <w:r>
        <w:t>☐ Withdrawals/redemptions follow approval rules.</w:t>
      </w:r>
    </w:p>
    <w:p>
      <w:pPr>
        <w:pStyle w:val="ListBullet"/>
        <w:spacing w:after="40"/>
      </w:pPr>
      <w:r>
        <w:t>☐ Browser cannot set balances; transaction and balance updates are atomic.</w:t>
      </w:r>
    </w:p>
    <w:p>
      <w:pPr>
        <w:pStyle w:val="ListBullet"/>
        <w:spacing w:after="40"/>
      </w:pPr>
      <w:r>
        <w:t>☐ Duplicate submissions/references cannot double-credit.</w:t>
      </w:r>
    </w:p>
    <w:p>
      <w:pPr>
        <w:pStyle w:val="ListBullet"/>
        <w:spacing w:after="40"/>
      </w:pPr>
      <w:r>
        <w:t>☐ Posted transactions are immutable; reversals are linked and audited.</w:t>
      </w:r>
    </w:p>
    <w:p>
      <w:pPr>
        <w:pStyle w:val="ListBullet"/>
        <w:spacing w:after="40"/>
      </w:pPr>
      <w:r>
        <w:t>☐ All reads, totals, searches and receipts are tenant-scoped.</w:t>
      </w:r>
    </w:p>
    <w:p>
      <w:pPr>
        <w:pStyle w:val="ListBullet"/>
        <w:spacing w:after="40"/>
      </w:pPr>
      <w:r>
        <w:t>☐ RLS and server-side permission checks are reviewed.</w:t>
      </w:r>
    </w:p>
    <w:p>
      <w:pPr>
        <w:pStyle w:val="ListBullet"/>
        <w:spacing w:after="40"/>
      </w:pPr>
      <w:r>
        <w:t>☐ Stages 1–3 remain functional and responsive.</w:t>
      </w:r>
    </w:p>
    <w:p>
      <w:pPr>
        <w:pStyle w:val="Heading1"/>
      </w:pPr>
      <w:r>
        <w:t>10. Manual test matrix</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shd w:fill="123D31"/>
          </w:tcPr>
          <w:p>
            <w:r>
              <w:t>Test</w:t>
            </w:r>
          </w:p>
        </w:tc>
        <w:tc>
          <w:tcPr>
            <w:tcW w:type="dxa" w:w="3360"/>
            <w:vAlign w:val="center"/>
            <w:shd w:fill="123D31"/>
          </w:tcPr>
          <w:p>
            <w:r>
              <w:t>Action</w:t>
            </w:r>
          </w:p>
        </w:tc>
        <w:tc>
          <w:tcPr>
            <w:tcW w:type="dxa" w:w="3360"/>
            <w:vAlign w:val="center"/>
            <w:shd w:fill="123D31"/>
          </w:tcPr>
          <w:p>
            <w:r>
              <w:t>Expected result</w:t>
            </w:r>
          </w:p>
        </w:tc>
      </w:tr>
      <w:tr>
        <w:tc>
          <w:tcPr>
            <w:tcW w:type="dxa" w:w="3360"/>
            <w:vAlign w:val="center"/>
          </w:tcPr>
          <w:p>
            <w:r>
              <w:t>Pending MTN</w:t>
            </w:r>
          </w:p>
        </w:tc>
        <w:tc>
          <w:tcPr>
            <w:tcW w:type="dxa" w:w="3360"/>
            <w:vAlign w:val="center"/>
          </w:tcPr>
          <w:p>
            <w:r>
              <w:t>Create MTN intent</w:t>
            </w:r>
          </w:p>
        </w:tc>
        <w:tc>
          <w:tcPr>
            <w:tcW w:type="dxa" w:w="3360"/>
            <w:vAlign w:val="center"/>
          </w:tcPr>
          <w:p>
            <w:r>
              <w:t>Pending; balance unchanged.</w:t>
            </w:r>
          </w:p>
        </w:tc>
      </w:tr>
      <w:tr>
        <w:tc>
          <w:tcPr>
            <w:tcW w:type="dxa" w:w="3360"/>
            <w:vAlign w:val="center"/>
          </w:tcPr>
          <w:p>
            <w:r>
              <w:t>Pending Airtel</w:t>
            </w:r>
          </w:p>
        </w:tc>
        <w:tc>
          <w:tcPr>
            <w:tcW w:type="dxa" w:w="3360"/>
            <w:vAlign w:val="center"/>
          </w:tcPr>
          <w:p>
            <w:r>
              <w:t>Create Airtel intent</w:t>
            </w:r>
          </w:p>
        </w:tc>
        <w:tc>
          <w:tcPr>
            <w:tcW w:type="dxa" w:w="3360"/>
            <w:vAlign w:val="center"/>
          </w:tcPr>
          <w:p>
            <w:r>
              <w:t>Distinct channel; balance unchanged.</w:t>
            </w:r>
          </w:p>
        </w:tc>
      </w:tr>
      <w:tr>
        <w:tc>
          <w:tcPr>
            <w:tcW w:type="dxa" w:w="3360"/>
            <w:vAlign w:val="center"/>
          </w:tcPr>
          <w:p>
            <w:r>
              <w:t>Duplicate posting</w:t>
            </w:r>
          </w:p>
        </w:tc>
        <w:tc>
          <w:tcPr>
            <w:tcW w:type="dxa" w:w="3360"/>
            <w:vAlign w:val="center"/>
          </w:tcPr>
          <w:p>
            <w:r>
              <w:t>Submit same idempotency key twice</w:t>
            </w:r>
          </w:p>
        </w:tc>
        <w:tc>
          <w:tcPr>
            <w:tcW w:type="dxa" w:w="3360"/>
            <w:vAlign w:val="center"/>
          </w:tcPr>
          <w:p>
            <w:r>
              <w:t>At most one posting/credit.</w:t>
            </w:r>
          </w:p>
        </w:tc>
      </w:tr>
      <w:tr>
        <w:tc>
          <w:tcPr>
            <w:tcW w:type="dxa" w:w="3360"/>
            <w:vAlign w:val="center"/>
          </w:tcPr>
          <w:p>
            <w:r>
              <w:t>Cross-tenant</w:t>
            </w:r>
          </w:p>
        </w:tc>
        <w:tc>
          <w:tcPr>
            <w:tcW w:type="dxa" w:w="3360"/>
            <w:vAlign w:val="center"/>
          </w:tcPr>
          <w:p>
            <w:r>
              <w:t>Change tenant/member ID</w:t>
            </w:r>
          </w:p>
        </w:tc>
        <w:tc>
          <w:tcPr>
            <w:tcW w:type="dxa" w:w="3360"/>
            <w:vAlign w:val="center"/>
          </w:tcPr>
          <w:p>
            <w:r>
              <w:t>Denied by server/RLS.</w:t>
            </w:r>
          </w:p>
        </w:tc>
      </w:tr>
      <w:tr>
        <w:tc>
          <w:tcPr>
            <w:tcW w:type="dxa" w:w="3360"/>
            <w:vAlign w:val="center"/>
          </w:tcPr>
          <w:p>
            <w:r>
              <w:t>Insufficient funds</w:t>
            </w:r>
          </w:p>
        </w:tc>
        <w:tc>
          <w:tcPr>
            <w:tcW w:type="dxa" w:w="3360"/>
            <w:vAlign w:val="center"/>
          </w:tcPr>
          <w:p>
            <w:r>
              <w:t>Withdraw above cleared balance</w:t>
            </w:r>
          </w:p>
        </w:tc>
        <w:tc>
          <w:tcPr>
            <w:tcW w:type="dxa" w:w="3360"/>
            <w:vAlign w:val="center"/>
          </w:tcPr>
          <w:p>
            <w:r>
              <w:t>Blocked or held; no payout.</w:t>
            </w:r>
          </w:p>
        </w:tc>
      </w:tr>
      <w:tr>
        <w:tc>
          <w:tcPr>
            <w:tcW w:type="dxa" w:w="3360"/>
            <w:vAlign w:val="center"/>
          </w:tcPr>
          <w:p>
            <w:r>
              <w:t>Self-approval</w:t>
            </w:r>
          </w:p>
        </w:tc>
        <w:tc>
          <w:tcPr>
            <w:tcW w:type="dxa" w:w="3360"/>
            <w:vAlign w:val="center"/>
          </w:tcPr>
          <w:p>
            <w:r>
              <w:t>Requester approves own request where prohibited</w:t>
            </w:r>
          </w:p>
        </w:tc>
        <w:tc>
          <w:tcPr>
            <w:tcW w:type="dxa" w:w="3360"/>
            <w:vAlign w:val="center"/>
          </w:tcPr>
          <w:p>
            <w:r>
              <w:t>Denied.</w:t>
            </w:r>
          </w:p>
        </w:tc>
      </w:tr>
      <w:tr>
        <w:tc>
          <w:tcPr>
            <w:tcW w:type="dxa" w:w="3360"/>
            <w:vAlign w:val="center"/>
          </w:tcPr>
          <w:p>
            <w:r>
              <w:t>Posted edit</w:t>
            </w:r>
          </w:p>
        </w:tc>
        <w:tc>
          <w:tcPr>
            <w:tcW w:type="dxa" w:w="3360"/>
            <w:vAlign w:val="center"/>
          </w:tcPr>
          <w:p>
            <w:r>
              <w:t>Edit/delete posted receipt</w:t>
            </w:r>
          </w:p>
        </w:tc>
        <w:tc>
          <w:tcPr>
            <w:tcW w:type="dxa" w:w="3360"/>
            <w:vAlign w:val="center"/>
          </w:tcPr>
          <w:p>
            <w:r>
              <w:t>Denied; use reversal.</w:t>
            </w:r>
          </w:p>
        </w:tc>
      </w:tr>
      <w:tr>
        <w:tc>
          <w:tcPr>
            <w:tcW w:type="dxa" w:w="3360"/>
            <w:vAlign w:val="center"/>
          </w:tcPr>
          <w:p>
            <w:r>
              <w:t>Reversal</w:t>
            </w:r>
          </w:p>
        </w:tc>
        <w:tc>
          <w:tcPr>
            <w:tcW w:type="dxa" w:w="3360"/>
            <w:vAlign w:val="center"/>
          </w:tcPr>
          <w:p>
            <w:r>
              <w:t>Authorized reversal with reason</w:t>
            </w:r>
          </w:p>
        </w:tc>
        <w:tc>
          <w:tcPr>
            <w:tcW w:type="dxa" w:w="3360"/>
            <w:vAlign w:val="center"/>
          </w:tcPr>
          <w:p>
            <w:r>
              <w:t>Linked reversal and audit record.</w:t>
            </w:r>
          </w:p>
        </w:tc>
      </w:tr>
      <w:tr>
        <w:tc>
          <w:tcPr>
            <w:tcW w:type="dxa" w:w="3360"/>
            <w:vAlign w:val="center"/>
          </w:tcPr>
          <w:p>
            <w:r>
              <w:t>Concurrent receipts</w:t>
            </w:r>
          </w:p>
        </w:tc>
        <w:tc>
          <w:tcPr>
            <w:tcW w:type="dxa" w:w="3360"/>
            <w:vAlign w:val="center"/>
          </w:tcPr>
          <w:p>
            <w:r>
              <w:t>Create several receipts simultaneously</w:t>
            </w:r>
          </w:p>
        </w:tc>
        <w:tc>
          <w:tcPr>
            <w:tcW w:type="dxa" w:w="3360"/>
            <w:vAlign w:val="center"/>
          </w:tcPr>
          <w:p>
            <w:r>
              <w:t>No duplicate receipt numbers.</w:t>
            </w:r>
          </w:p>
        </w:tc>
      </w:tr>
      <w:tr>
        <w:tc>
          <w:tcPr>
            <w:tcW w:type="dxa" w:w="3360"/>
            <w:vAlign w:val="center"/>
          </w:tcPr>
          <w:p>
            <w:r>
              <w:t>Channel totals</w:t>
            </w:r>
          </w:p>
        </w:tc>
        <w:tc>
          <w:tcPr>
            <w:tcW w:type="dxa" w:w="3360"/>
            <w:vAlign w:val="center"/>
          </w:tcPr>
          <w:p>
            <w:r>
              <w:t>Compare cash/MTN/Airtel totals</w:t>
            </w:r>
          </w:p>
        </w:tc>
        <w:tc>
          <w:tcPr>
            <w:tcW w:type="dxa" w:w="3360"/>
            <w:vAlign w:val="center"/>
          </w:tcPr>
          <w:p>
            <w:r>
              <w:t>Stored and displayed separately.</w:t>
            </w:r>
          </w:p>
        </w:tc>
      </w:tr>
      <w:tr>
        <w:tc>
          <w:tcPr>
            <w:tcW w:type="dxa" w:w="3360"/>
          </w:tcPr>
          <w:p>
            <w:r>
              <w:t>Unconfirmed bank transfer</w:t>
            </w:r>
          </w:p>
        </w:tc>
        <w:tc>
          <w:tcPr>
            <w:tcW w:type="dxa" w:w="3360"/>
          </w:tcPr>
          <w:p>
            <w:r>
              <w:t>Enter bank transfer with reference but no confirmation evidence</w:t>
            </w:r>
          </w:p>
        </w:tc>
        <w:tc>
          <w:tcPr>
            <w:tcW w:type="dxa" w:w="3360"/>
          </w:tcPr>
          <w:p>
            <w:r>
              <w:t>Pending/unmatched; member balance unchanged.</w:t>
            </w:r>
          </w:p>
        </w:tc>
      </w:tr>
      <w:tr>
        <w:tc>
          <w:tcPr>
            <w:tcW w:type="dxa" w:w="3360"/>
          </w:tcPr>
          <w:p>
            <w:r>
              <w:t>Confirmed bank transfer</w:t>
            </w:r>
          </w:p>
        </w:tc>
        <w:tc>
          <w:tcPr>
            <w:tcW w:type="dxa" w:w="3360"/>
          </w:tcPr>
          <w:p>
            <w:r>
              <w:t>Authorized reviewer matches reliable evidence/statement line</w:t>
            </w:r>
          </w:p>
        </w:tc>
        <w:tc>
          <w:tcPr>
            <w:tcW w:type="dxa" w:w="3360"/>
          </w:tcPr>
          <w:p>
            <w:r>
              <w:t>Confirmed once; linked transaction posts once; audit records verifier.</w:t>
            </w:r>
          </w:p>
        </w:tc>
      </w:tr>
      <w:tr>
        <w:tc>
          <w:tcPr>
            <w:tcW w:type="dxa" w:w="3360"/>
          </w:tcPr>
          <w:p>
            <w:r>
              <w:t>Duplicate bank reference</w:t>
            </w:r>
          </w:p>
        </w:tc>
        <w:tc>
          <w:tcPr>
            <w:tcW w:type="dxa" w:w="3360"/>
          </w:tcPr>
          <w:p>
            <w:r>
              <w:t>Attempt to record same bank reference twice for same bank account</w:t>
            </w:r>
          </w:p>
        </w:tc>
        <w:tc>
          <w:tcPr>
            <w:tcW w:type="dxa" w:w="3360"/>
          </w:tcPr>
          <w:p>
            <w:r>
              <w:t>Duplicate warning/block; no double credit.</w:t>
            </w:r>
          </w:p>
        </w:tc>
      </w:tr>
    </w:tbl>
    <w:p>
      <w:pPr>
        <w:pStyle w:val="Heading1"/>
      </w:pPr>
      <w:r>
        <w:t>11. Gate before Stage 5</w:t>
      </w:r>
    </w:p>
    <w:p>
      <w:pPr>
        <w:spacing w:after="80"/>
      </w:pPr>
      <w:r>
        <w:t>Do not advance until tenant isolation, duplicate protection, pending-payment behavior, approval separation and reversal handling have been tested. Review how balances are derived or atomically cached. Stage 5 adds loans and guarantors on top of stable member and transaction records.</w:t>
      </w:r>
    </w:p>
    <w:p>
      <w:pPr>
        <w:pStyle w:val="Heading1"/>
      </w:pPr>
      <w:r>
        <w:t>12. References</w:t>
      </w:r>
    </w:p>
    <w:p>
      <w:pPr>
        <w:pStyle w:val="ListBullet"/>
        <w:spacing w:after="40"/>
      </w:pPr>
      <w:r>
        <w:t>Lovable: https://lovable.dev/</w:t>
      </w:r>
    </w:p>
    <w:p>
      <w:pPr>
        <w:pStyle w:val="ListBullet"/>
        <w:spacing w:after="40"/>
      </w:pPr>
      <w:r>
        <w:t>Supabase RLS: https://supabase.com/docs/guides/database/postgres/row-level-security</w:t>
      </w:r>
    </w:p>
    <w:p>
      <w:pPr>
        <w:pStyle w:val="ListBullet"/>
        <w:spacing w:after="40"/>
      </w:pPr>
      <w:r>
        <w:t>Supabase database functions: https://supabase.com/docs/guides/database/functions</w:t>
      </w:r>
    </w:p>
    <w:p>
      <w:pPr>
        <w:pStyle w:val="ListBullet"/>
        <w:spacing w:after="40"/>
      </w:pPr>
      <w:r>
        <w:t>ioTec Pay API docs (live integration planned for Stage 7): https://pay.iotec.io/api-docs/index.html</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16A"/>
        <w:sz w:val="16"/>
      </w:rPr>
      <w:t>Stage 4 — Cash, Mobile Money, Savings &amp; Shares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2D7650"/>
        <w:sz w:val="16"/>
      </w:rPr>
      <w:t>FLEXSACCO  |  LOVABLE BUILD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52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D3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D765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D3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FlexSACCO Stage 4 Blueprint — Bank Payments Included</dc:title>
  <dc:subject>Revised Stage 4 blueprint including bank transactions and reconciliation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