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Aptos Display" w:hAnsi="Aptos Display"/>
          <w:b/>
          <w:color w:val="4CAF67"/>
          <w:sz w:val="24"/>
        </w:rPr>
        <w:t>FLEXIBLE SACCO SAAS PLATFORM</w:t>
      </w:r>
    </w:p>
    <w:p>
      <w:pPr>
        <w:pStyle w:val="Title"/>
        <w:jc w:val="center"/>
      </w:pPr>
      <w:r>
        <w:t>ioTec Payments &amp; SMS</w:t>
        <w:br/>
        <w:t>Integration Blueprint</w:t>
      </w:r>
    </w:p>
    <w:p>
      <w:pPr>
        <w:jc w:val="center"/>
      </w:pPr>
      <w:r>
        <w:rPr>
          <w:color w:val="63716A"/>
          <w:sz w:val="24"/>
        </w:rPr>
        <w:t>Implementation plan for MTN MoMo, Airtel Money, subscription billing, SACCO transactions and member notifications</w:t>
      </w:r>
    </w:p>
    <w:p/>
    <w:tbl>
      <w:tblPr>
        <w:tblW w:type="auto" w:w="0"/>
        <w:jc w:val="center"/>
        <w:tblLook w:firstColumn="1" w:firstRow="1" w:lastColumn="0" w:lastRow="0" w:noHBand="0" w:noVBand="1" w:val="04A0"/>
      </w:tblPr>
      <w:tblGrid>
        <w:gridCol w:w="10080"/>
      </w:tblGrid>
      <w:tr>
        <w:tc>
          <w:tcPr>
            <w:tcW w:type="dxa" w:w="10080"/>
            <w:shd w:fill="EFFAF1"/>
            <w:vAlign w:val="center"/>
          </w:tcPr>
          <w:p>
            <w:pPr>
              <w:spacing w:after="20"/>
            </w:pPr>
            <w:r/>
            <w:r>
              <w:rPr>
                <w:rFonts w:ascii="Aptos" w:hAnsi="Aptos"/>
                <w:b/>
                <w:color w:val="123D31"/>
                <w:sz w:val="20"/>
              </w:rPr>
              <w:t>CORE PRINCIPLE</w:t>
              <w:br/>
              <w:t>Use ioTec as the preferred payment and messaging gateway, while keeping payment verification, ledger posting, tenant isolation and audit records inside the SACCO SaaS backend. A payment notification is not proof of payment until the server verifies the final provider status.</w:t>
            </w:r>
          </w:p>
        </w:tc>
      </w:tr>
    </w:tbl>
    <w:p/>
    <w:p>
      <w:pPr>
        <w:jc w:val="center"/>
      </w:pPr>
      <w:r>
        <w:rPr>
          <w:i/>
          <w:color w:val="63716A"/>
          <w:sz w:val="18"/>
        </w:rPr>
        <w:t>Prepared as a build-ready product and technical blueprint • Uganda-focused</w:t>
      </w:r>
    </w:p>
    <w:p>
      <w:r>
        <w:br w:type="page"/>
      </w:r>
    </w:p>
    <w:p>
      <w:pPr>
        <w:pStyle w:val="Heading1"/>
      </w:pPr>
      <w:r>
        <w:t>1. Purpose and scope</w:t>
      </w:r>
    </w:p>
    <w:p>
      <w:r>
        <w:t>This blueprint defines how the SACCO management SaaS should connect to ioTec for mobile-money collections, possible disbursements, and SMS messaging. It covers two separate payment domains: (1) SaaS subscription fees paid to the software operator and (2) SACCO member transactions that belong to each individual SACCO.</w:t>
      </w:r>
    </w:p>
    <w:p>
      <w:pPr>
        <w:pStyle w:val="ListBullet"/>
        <w:spacing w:after="40"/>
      </w:pPr>
      <w:r>
        <w:t>Payment channels: MTN Mobile Money and Airtel Money, subject to ioTec account enablement and production approval.</w:t>
      </w:r>
    </w:p>
    <w:p>
      <w:pPr>
        <w:pStyle w:val="ListBullet"/>
        <w:spacing w:after="40"/>
      </w:pPr>
      <w:r>
        <w:t>Messaging: SMS notifications to member phone numbers through ioTec Messaging API.</w:t>
      </w:r>
    </w:p>
    <w:p>
      <w:pPr>
        <w:pStyle w:val="ListBullet"/>
        <w:spacing w:after="40"/>
      </w:pPr>
      <w:r>
        <w:t>Optional future capability: disbursements to member mobile-money accounts, only after ioTec confirms the route, controls, pricing and approval requirements.</w:t>
      </w:r>
    </w:p>
    <w:p>
      <w:pPr>
        <w:pStyle w:val="ListBullet"/>
        <w:spacing w:after="40"/>
      </w:pPr>
      <w:r>
        <w:t>Out of scope for this document: final commercial pricing, legal advice, and provider-specific credentials or secrets.</w:t>
      </w:r>
    </w:p>
    <w:p>
      <w:pPr>
        <w:pStyle w:val="Heading1"/>
      </w:pPr>
      <w:r>
        <w:t>2. High-level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23D31"/>
          </w:tcPr>
          <w:p>
            <w:pPr>
              <w:spacing w:after="20"/>
            </w:pPr>
            <w:r/>
            <w:r>
              <w:rPr>
                <w:rFonts w:ascii="Aptos" w:hAnsi="Aptos"/>
                <w:b/>
                <w:color w:val="FFFFFF"/>
                <w:sz w:val="18"/>
              </w:rPr>
              <w:t>User interface</w:t>
            </w:r>
          </w:p>
        </w:tc>
        <w:tc>
          <w:tcPr>
            <w:tcW w:type="dxa" w:w="3360"/>
            <w:vAlign w:val="center"/>
            <w:shd w:fill="123D31"/>
          </w:tcPr>
          <w:p>
            <w:pPr>
              <w:spacing w:after="20"/>
            </w:pPr>
            <w:r/>
            <w:r>
              <w:rPr>
                <w:rFonts w:ascii="Aptos" w:hAnsi="Aptos"/>
                <w:b/>
                <w:color w:val="FFFFFF"/>
                <w:sz w:val="18"/>
              </w:rPr>
              <w:t>SaaS backend</w:t>
            </w:r>
          </w:p>
        </w:tc>
        <w:tc>
          <w:tcPr>
            <w:tcW w:type="dxa" w:w="3360"/>
            <w:vAlign w:val="center"/>
            <w:shd w:fill="123D31"/>
          </w:tcPr>
          <w:p>
            <w:pPr>
              <w:spacing w:after="20"/>
            </w:pPr>
            <w:r/>
            <w:r>
              <w:rPr>
                <w:rFonts w:ascii="Aptos" w:hAnsi="Aptos"/>
                <w:b/>
                <w:color w:val="FFFFFF"/>
                <w:sz w:val="18"/>
              </w:rPr>
              <w:t>External providers</w:t>
            </w:r>
          </w:p>
        </w:tc>
      </w:tr>
      <w:tr>
        <w:tc>
          <w:tcPr>
            <w:tcW w:type="dxa" w:w="3360"/>
            <w:vAlign w:val="center"/>
          </w:tcPr>
          <w:p>
            <w:pPr>
              <w:spacing w:after="20"/>
            </w:pPr>
            <w:r/>
            <w:r>
              <w:rPr>
                <w:rFonts w:ascii="Aptos" w:hAnsi="Aptos"/>
                <w:b w:val="0"/>
                <w:color w:val="26352F"/>
                <w:sz w:val="17"/>
              </w:rPr>
              <w:t>SACCO admin portal</w:t>
              <w:br/>
              <w:t>Member portal</w:t>
              <w:br/>
              <w:t>Subscription checkout</w:t>
              <w:br/>
              <w:t>Payment status screens</w:t>
            </w:r>
          </w:p>
        </w:tc>
        <w:tc>
          <w:tcPr>
            <w:tcW w:type="dxa" w:w="3360"/>
            <w:vAlign w:val="center"/>
          </w:tcPr>
          <w:p>
            <w:pPr>
              <w:spacing w:after="20"/>
            </w:pPr>
            <w:r/>
            <w:r>
              <w:rPr>
                <w:rFonts w:ascii="Aptos" w:hAnsi="Aptos"/>
                <w:b w:val="0"/>
                <w:color w:val="26352F"/>
                <w:sz w:val="17"/>
              </w:rPr>
              <w:t>Tenant-aware API</w:t>
              <w:br/>
              <w:t>Payment orchestration</w:t>
              <w:br/>
              <w:t>Webhook/callback handler</w:t>
              <w:br/>
              <w:t>Double-entry ledger</w:t>
              <w:br/>
              <w:t>Audit log</w:t>
              <w:br/>
              <w:t>SMS queue and retry worker</w:t>
            </w:r>
          </w:p>
        </w:tc>
        <w:tc>
          <w:tcPr>
            <w:tcW w:type="dxa" w:w="3360"/>
            <w:vAlign w:val="center"/>
          </w:tcPr>
          <w:p>
            <w:pPr>
              <w:spacing w:after="20"/>
            </w:pPr>
            <w:r/>
            <w:r>
              <w:rPr>
                <w:rFonts w:ascii="Aptos" w:hAnsi="Aptos"/>
                <w:b w:val="0"/>
                <w:color w:val="26352F"/>
                <w:sz w:val="17"/>
              </w:rPr>
              <w:t>ioTec Pay API</w:t>
              <w:br/>
              <w:t>MTN MoMo route</w:t>
              <w:br/>
              <w:t>Airtel Money route</w:t>
              <w:br/>
              <w:t>ioTec Messaging API</w:t>
            </w:r>
          </w:p>
        </w:tc>
      </w:tr>
    </w:tbl>
    <w:p>
      <w:r>
        <w:t>The browser or mobile app must never call ioTec using private credentials. All provider requests should be initiated by the server, which stores secrets securely and records each request and response.</w:t>
      </w:r>
    </w:p>
    <w:p>
      <w:pPr>
        <w:pStyle w:val="Heading1"/>
      </w:pPr>
      <w:r>
        <w:t>3. Separate the two payment domains</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26734D"/>
          </w:tcPr>
          <w:p>
            <w:pPr>
              <w:spacing w:after="20"/>
            </w:pPr>
            <w:r/>
            <w:r>
              <w:rPr>
                <w:rFonts w:ascii="Aptos" w:hAnsi="Aptos"/>
                <w:b/>
                <w:color w:val="FFFFFF"/>
                <w:sz w:val="17"/>
              </w:rPr>
              <w:t>Payment domain</w:t>
            </w:r>
          </w:p>
        </w:tc>
        <w:tc>
          <w:tcPr>
            <w:tcW w:type="dxa" w:w="3360"/>
            <w:vAlign w:val="center"/>
            <w:shd w:fill="26734D"/>
          </w:tcPr>
          <w:p>
            <w:pPr>
              <w:spacing w:after="20"/>
            </w:pPr>
            <w:r/>
            <w:r>
              <w:rPr>
                <w:rFonts w:ascii="Aptos" w:hAnsi="Aptos"/>
                <w:b/>
                <w:color w:val="FFFFFF"/>
                <w:sz w:val="17"/>
              </w:rPr>
              <w:t>Purpose</w:t>
            </w:r>
          </w:p>
        </w:tc>
        <w:tc>
          <w:tcPr>
            <w:tcW w:type="dxa" w:w="3360"/>
            <w:vAlign w:val="center"/>
            <w:shd w:fill="26734D"/>
          </w:tcPr>
          <w:p>
            <w:pPr>
              <w:spacing w:after="20"/>
            </w:pPr>
            <w:r/>
            <w:r>
              <w:rPr>
                <w:rFonts w:ascii="Aptos" w:hAnsi="Aptos"/>
                <w:b/>
                <w:color w:val="FFFFFF"/>
                <w:sz w:val="17"/>
              </w:rPr>
              <w:t>Required separation</w:t>
            </w:r>
          </w:p>
        </w:tc>
      </w:tr>
      <w:tr>
        <w:tc>
          <w:tcPr>
            <w:tcW w:type="dxa" w:w="3360"/>
            <w:vAlign w:val="center"/>
          </w:tcPr>
          <w:p>
            <w:pPr>
              <w:spacing w:after="20"/>
            </w:pPr>
            <w:r/>
            <w:r>
              <w:rPr>
                <w:rFonts w:ascii="Aptos" w:hAnsi="Aptos"/>
                <w:b w:val="0"/>
                <w:color w:val="26352F"/>
                <w:sz w:val="16"/>
              </w:rPr>
              <w:t>SaaS subscription</w:t>
            </w:r>
          </w:p>
        </w:tc>
        <w:tc>
          <w:tcPr>
            <w:tcW w:type="dxa" w:w="3360"/>
            <w:vAlign w:val="center"/>
          </w:tcPr>
          <w:p>
            <w:pPr>
              <w:spacing w:after="20"/>
            </w:pPr>
            <w:r/>
            <w:r>
              <w:rPr>
                <w:rFonts w:ascii="Aptos" w:hAnsi="Aptos"/>
                <w:b w:val="0"/>
                <w:color w:val="26352F"/>
                <w:sz w:val="16"/>
              </w:rPr>
              <w:t>A SACCO pays to use the software platform.</w:t>
            </w:r>
          </w:p>
        </w:tc>
        <w:tc>
          <w:tcPr>
            <w:tcW w:type="dxa" w:w="3360"/>
            <w:vAlign w:val="center"/>
          </w:tcPr>
          <w:p>
            <w:pPr>
              <w:spacing w:after="20"/>
            </w:pPr>
            <w:r/>
            <w:r>
              <w:rPr>
                <w:rFonts w:ascii="Aptos" w:hAnsi="Aptos"/>
                <w:b w:val="0"/>
                <w:color w:val="26352F"/>
                <w:sz w:val="16"/>
              </w:rPr>
              <w:t>Funds settle to the SaaS operator. Record against the tenant subscription, not a member savings ledger.</w:t>
            </w:r>
          </w:p>
        </w:tc>
      </w:tr>
      <w:tr>
        <w:tc>
          <w:tcPr>
            <w:tcW w:type="dxa" w:w="3360"/>
            <w:vAlign w:val="center"/>
          </w:tcPr>
          <w:p>
            <w:pPr>
              <w:spacing w:after="20"/>
            </w:pPr>
            <w:r/>
            <w:r>
              <w:rPr>
                <w:rFonts w:ascii="Aptos" w:hAnsi="Aptos"/>
                <w:b w:val="0"/>
                <w:color w:val="26352F"/>
                <w:sz w:val="16"/>
              </w:rPr>
              <w:t>SACCO member transaction</w:t>
            </w:r>
          </w:p>
        </w:tc>
        <w:tc>
          <w:tcPr>
            <w:tcW w:type="dxa" w:w="3360"/>
            <w:vAlign w:val="center"/>
          </w:tcPr>
          <w:p>
            <w:pPr>
              <w:spacing w:after="20"/>
            </w:pPr>
            <w:r/>
            <w:r>
              <w:rPr>
                <w:rFonts w:ascii="Aptos" w:hAnsi="Aptos"/>
                <w:b w:val="0"/>
                <w:color w:val="26352F"/>
                <w:sz w:val="16"/>
              </w:rPr>
              <w:t>A member deposits savings, pays a loan, buys shares or pays another approved SACCO charge.</w:t>
            </w:r>
          </w:p>
        </w:tc>
        <w:tc>
          <w:tcPr>
            <w:tcW w:type="dxa" w:w="3360"/>
            <w:vAlign w:val="center"/>
          </w:tcPr>
          <w:p>
            <w:pPr>
              <w:spacing w:after="20"/>
            </w:pPr>
            <w:r/>
            <w:r>
              <w:rPr>
                <w:rFonts w:ascii="Aptos" w:hAnsi="Aptos"/>
                <w:b w:val="0"/>
                <w:color w:val="26352F"/>
                <w:sz w:val="16"/>
              </w:rPr>
              <w:t>Funds belong to the relevant SACCO. Every transaction must include tenant_id, member_id where relevant, and a unique internal reference.</w:t>
            </w:r>
          </w:p>
        </w:tc>
      </w:tr>
    </w:tbl>
    <w:p>
      <w:pPr>
        <w:pStyle w:val="Heading1"/>
      </w:pPr>
      <w:r>
        <w:t>4. Subscription checkout journey</w:t>
      </w:r>
    </w:p>
    <w:p>
      <w:pPr>
        <w:pStyle w:val="ListNumber"/>
        <w:spacing w:after="40"/>
      </w:pPr>
      <w:r>
        <w:t>Visitor selects a subscription plan and billing term (trial, weekly, monthly, yearly or lifetime offer if enabled).</w:t>
      </w:r>
    </w:p>
    <w:p>
      <w:pPr>
        <w:pStyle w:val="ListNumber"/>
        <w:spacing w:after="40"/>
      </w:pPr>
      <w:r>
        <w:t>Backend creates a pending subscription order with a unique internal order ID, tenant placeholder, amount, currency, plan, expiry and idempotency key.</w:t>
      </w:r>
    </w:p>
    <w:p>
      <w:pPr>
        <w:pStyle w:val="ListNumber"/>
        <w:spacing w:after="40"/>
      </w:pPr>
      <w:r>
        <w:t>Customer chooses MTN MoMo or Airtel Money and enters the mobile-money number. Validate the number format and display the amount before submission.</w:t>
      </w:r>
    </w:p>
    <w:p>
      <w:pPr>
        <w:pStyle w:val="ListNumber"/>
        <w:spacing w:after="40"/>
      </w:pPr>
      <w:r>
        <w:t>Backend requests a collection through ioTec Pay using server-held credentials and a unique external reference. Never trust an amount supplied by the browser.</w:t>
      </w:r>
    </w:p>
    <w:p>
      <w:pPr>
        <w:pStyle w:val="ListNumber"/>
        <w:spacing w:after="40"/>
      </w:pPr>
      <w:r>
        <w:t>Show a pending screen while waiting. Do not activate a paid plan based only on the user returning to the website or a client-side success message.</w:t>
      </w:r>
    </w:p>
    <w:p>
      <w:pPr>
        <w:pStyle w:val="ListNumber"/>
        <w:spacing w:after="40"/>
      </w:pPr>
      <w:r>
        <w:t>Receive ioTec callback/webhook if configured, then verify the transaction status server-side using the provider's supported verification method.</w:t>
      </w:r>
    </w:p>
    <w:p>
      <w:pPr>
        <w:pStyle w:val="ListNumber"/>
        <w:spacing w:after="40"/>
      </w:pPr>
      <w:r>
        <w:t>If final status is Success and amount, currency, reference and intended order match, mark the order paid and unlock SACCO registration.</w:t>
      </w:r>
    </w:p>
    <w:p>
      <w:pPr>
        <w:pStyle w:val="ListNumber"/>
        <w:spacing w:after="40"/>
      </w:pPr>
      <w:r>
        <w:t>If Pending, keep the order pending and poll/check status according to provider guidance. If Failed, show a safe retry option without duplicating a successful charge.</w:t>
      </w:r>
    </w:p>
    <w:p>
      <w:pPr>
        <w:pStyle w:val="ListNumber"/>
        <w:spacing w:after="40"/>
      </w:pPr>
      <w:r>
        <w:t>After payment confirmation, allow the customer to create the SACCO workspace and administrator account. Link the paid order to that tenant.</w:t>
      </w:r>
    </w:p>
    <w:p>
      <w:pPr>
        <w:pStyle w:val="ListNumber"/>
        <w:spacing w:after="40"/>
      </w:pPr>
      <w:r>
        <w:t>Send a receipt/confirmation SMS where appropriate and store the provider reference for reconciliation.</w:t>
      </w:r>
    </w:p>
    <w:p>
      <w:r>
        <w:t>Trial path: the visitor chooses a trial, creates the SACCO workspace, accepts the terms and verifies the administrator contact. The backend creates a trial subscription with an explicit start and end date; no payment is recorded.</w:t>
      </w:r>
    </w:p>
    <w:p>
      <w:pPr>
        <w:pStyle w:val="Heading1"/>
      </w:pPr>
      <w:r>
        <w:t>5. SACCO member collection journey</w:t>
      </w:r>
    </w:p>
    <w:p>
      <w:pPr>
        <w:pStyle w:val="ListNumber"/>
        <w:spacing w:after="40"/>
      </w:pPr>
      <w:r>
        <w:t>A logged-in, authorized SACCO user selects the member and transaction type: savings deposit, loan repayment, share contribution or an approved fee.</w:t>
      </w:r>
    </w:p>
    <w:p>
      <w:pPr>
        <w:pStyle w:val="ListNumber"/>
        <w:spacing w:after="40"/>
      </w:pPr>
      <w:r>
        <w:t>Backend calculates the amount and validates the member, account status, limits, outstanding loan balance and tenant permissions.</w:t>
      </w:r>
    </w:p>
    <w:p>
      <w:pPr>
        <w:pStyle w:val="ListNumber"/>
        <w:spacing w:after="40"/>
      </w:pPr>
      <w:r>
        <w:t>Create a pending payment record and payment intent before calling ioTec. Assign a unique internal transaction ID and provider externalId.</w:t>
      </w:r>
    </w:p>
    <w:p>
      <w:pPr>
        <w:pStyle w:val="ListNumber"/>
        <w:spacing w:after="40"/>
      </w:pPr>
      <w:r>
        <w:t>Send the collection request through ioTec Pay and show the member the pending status and reference.</w:t>
      </w:r>
    </w:p>
    <w:p>
      <w:pPr>
        <w:pStyle w:val="ListNumber"/>
        <w:spacing w:after="40"/>
      </w:pPr>
      <w:r>
        <w:t>On verified Success, post the financial transaction to the SACCO's double-entry ledger exactly once; update balances from ledger entries rather than directly editing a balance field.</w:t>
      </w:r>
    </w:p>
    <w:p>
      <w:pPr>
        <w:pStyle w:val="ListNumber"/>
        <w:spacing w:after="40"/>
      </w:pPr>
      <w:r>
        <w:t>On Failed, do not post money to savings or loan balances. Preserve the failed attempt for support and audit.</w:t>
      </w:r>
    </w:p>
    <w:p>
      <w:pPr>
        <w:pStyle w:val="ListNumber"/>
        <w:spacing w:after="40"/>
      </w:pPr>
      <w:r>
        <w:t>On a duplicate callback, return a successful acknowledgement to the provider but do not create a second ledger posting.</w:t>
      </w:r>
    </w:p>
    <w:p>
      <w:pPr>
        <w:pStyle w:val="ListNumber"/>
        <w:spacing w:after="40"/>
      </w:pPr>
      <w:r>
        <w:t>Notify the member after the confirmed ledger posting, not merely after the payment request is initiated.</w:t>
      </w:r>
    </w:p>
    <w:p>
      <w:pPr>
        <w:pStyle w:val="Heading1"/>
      </w:pPr>
      <w:r>
        <w:t>6. ioTec Pay integration requirements</w:t>
      </w:r>
    </w:p>
    <w:p>
      <w:pPr>
        <w:pStyle w:val="ListBullet"/>
        <w:spacing w:after="40"/>
      </w:pPr>
      <w:r>
        <w:t>Use ioTec's official API documentation as the source of truth for current endpoint paths, authentication, request fields, status definitions, callback configuration and limits.</w:t>
      </w:r>
    </w:p>
    <w:p>
      <w:pPr>
        <w:pStyle w:val="ListBullet"/>
        <w:spacing w:after="40"/>
      </w:pPr>
      <w:r>
        <w:t>The documentation describes OAuth 2.0 client-credentials authentication via ioTec's identity service and a collections API. Confirm the exact production configuration with ioTec before implementation.</w:t>
      </w:r>
    </w:p>
    <w:p>
      <w:pPr>
        <w:pStyle w:val="ListBullet"/>
        <w:spacing w:after="40"/>
      </w:pPr>
      <w:r>
        <w:t>Use a server-side token service that obtains and refreshes access tokens safely. Do not hard-code access tokens or expose client secrets in JavaScript, app bundles, logs or source control.</w:t>
      </w:r>
    </w:p>
    <w:p>
      <w:pPr>
        <w:pStyle w:val="ListBullet"/>
        <w:spacing w:after="40"/>
      </w:pPr>
      <w:r>
        <w:t>Use a unique internal transaction ID. Use ioTec externalId/reference fields for correlation, but enforce uniqueness in the SaaS database even if the provider does not guarantee uniqueness.</w:t>
      </w:r>
    </w:p>
    <w:p>
      <w:pPr>
        <w:pStyle w:val="ListBullet"/>
        <w:spacing w:after="40"/>
      </w:pPr>
      <w:r>
        <w:t>Persist request time, amount, currency, provider, payer number in masked form, provider transaction ID, internal reference, status changes, callback payload hash and reconciliation outcome.</w:t>
      </w:r>
    </w:p>
    <w:p>
      <w:pPr>
        <w:pStyle w:val="ListBullet"/>
        <w:spacing w:after="40"/>
      </w:pPr>
      <w:r>
        <w:t>Treat statuses such as Pending, SentToVendor, Success and Failed according to the current provider documentation. Only a verified final success may trigger ledger posting.</w:t>
      </w:r>
    </w:p>
    <w:p>
      <w:pPr>
        <w:pStyle w:val="ListBullet"/>
        <w:spacing w:after="40"/>
      </w:pPr>
      <w:r>
        <w:t>Validate callback authenticity using the mechanism ioTec supports. If callback signing is not available, independently query transaction status before posting.</w:t>
      </w:r>
    </w:p>
    <w:p>
      <w:pPr>
        <w:pStyle w:val="ListBullet"/>
        <w:spacing w:after="40"/>
      </w:pPr>
      <w:r>
        <w:t>Implement timeouts, bounded retries, exponential backoff and an idempotency strategy. Never retry a collection blindly if the original request might have succeeded.</w:t>
      </w:r>
    </w:p>
    <w:p>
      <w:pPr>
        <w:pStyle w:val="ListBullet"/>
        <w:spacing w:after="40"/>
      </w:pPr>
      <w:r>
        <w:t>Confirm production merchant approval, available MTN/Airtel routes, settlement destination, fees, reversals/refunds process, transaction limits and service-level commitments with ioTec.</w:t>
      </w:r>
    </w:p>
    <w:p>
      <w:pPr>
        <w:pStyle w:val="Heading1"/>
      </w:pPr>
      <w:r>
        <w:t>7. SMS notification design</w:t>
      </w:r>
    </w:p>
    <w:p>
      <w:r>
        <w:t>Use ioTec Messaging API for transaction and account notifications. Keep SMS delivery separate from financial transaction success: an SMS failure must never reverse a valid ledger posting.</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26734D"/>
          </w:tcPr>
          <w:p>
            <w:pPr>
              <w:spacing w:after="20"/>
            </w:pPr>
            <w:r/>
            <w:r>
              <w:rPr>
                <w:rFonts w:ascii="Aptos" w:hAnsi="Aptos"/>
                <w:b/>
                <w:color w:val="FFFFFF"/>
                <w:sz w:val="17"/>
              </w:rPr>
              <w:t>Event</w:t>
            </w:r>
          </w:p>
        </w:tc>
        <w:tc>
          <w:tcPr>
            <w:tcW w:type="dxa" w:w="3360"/>
            <w:vAlign w:val="center"/>
            <w:shd w:fill="26734D"/>
          </w:tcPr>
          <w:p>
            <w:pPr>
              <w:spacing w:after="20"/>
            </w:pPr>
            <w:r/>
            <w:r>
              <w:rPr>
                <w:rFonts w:ascii="Aptos" w:hAnsi="Aptos"/>
                <w:b/>
                <w:color w:val="FFFFFF"/>
                <w:sz w:val="17"/>
              </w:rPr>
              <w:t>Example message purpose</w:t>
            </w:r>
          </w:p>
        </w:tc>
        <w:tc>
          <w:tcPr>
            <w:tcW w:type="dxa" w:w="3360"/>
            <w:vAlign w:val="center"/>
            <w:shd w:fill="26734D"/>
          </w:tcPr>
          <w:p>
            <w:pPr>
              <w:spacing w:after="20"/>
            </w:pPr>
            <w:r/>
            <w:r>
              <w:rPr>
                <w:rFonts w:ascii="Aptos" w:hAnsi="Aptos"/>
                <w:b/>
                <w:color w:val="FFFFFF"/>
                <w:sz w:val="17"/>
              </w:rPr>
              <w:t>Delivery rule</w:t>
            </w:r>
          </w:p>
        </w:tc>
      </w:tr>
      <w:tr>
        <w:tc>
          <w:tcPr>
            <w:tcW w:type="dxa" w:w="3360"/>
            <w:vAlign w:val="center"/>
          </w:tcPr>
          <w:p>
            <w:pPr>
              <w:spacing w:after="20"/>
            </w:pPr>
            <w:r/>
            <w:r>
              <w:rPr>
                <w:rFonts w:ascii="Aptos" w:hAnsi="Aptos"/>
                <w:b w:val="0"/>
                <w:color w:val="26352F"/>
                <w:sz w:val="16"/>
              </w:rPr>
              <w:t>Deposit confirmed</w:t>
            </w:r>
          </w:p>
        </w:tc>
        <w:tc>
          <w:tcPr>
            <w:tcW w:type="dxa" w:w="3360"/>
            <w:vAlign w:val="center"/>
          </w:tcPr>
          <w:p>
            <w:pPr>
              <w:spacing w:after="20"/>
            </w:pPr>
            <w:r/>
            <w:r>
              <w:rPr>
                <w:rFonts w:ascii="Aptos" w:hAnsi="Aptos"/>
                <w:b w:val="0"/>
                <w:color w:val="26352F"/>
                <w:sz w:val="16"/>
              </w:rPr>
              <w:t>Confirm amount, masked account/member reference and transaction reference.</w:t>
            </w:r>
          </w:p>
        </w:tc>
        <w:tc>
          <w:tcPr>
            <w:tcW w:type="dxa" w:w="3360"/>
            <w:vAlign w:val="center"/>
          </w:tcPr>
          <w:p>
            <w:pPr>
              <w:spacing w:after="20"/>
            </w:pPr>
            <w:r/>
            <w:r>
              <w:rPr>
                <w:rFonts w:ascii="Aptos" w:hAnsi="Aptos"/>
                <w:b w:val="0"/>
                <w:color w:val="26352F"/>
                <w:sz w:val="16"/>
              </w:rPr>
              <w:t>Send only after provider success and ledger posting.</w:t>
            </w:r>
          </w:p>
        </w:tc>
      </w:tr>
      <w:tr>
        <w:tc>
          <w:tcPr>
            <w:tcW w:type="dxa" w:w="3360"/>
            <w:vAlign w:val="center"/>
          </w:tcPr>
          <w:p>
            <w:pPr>
              <w:spacing w:after="20"/>
            </w:pPr>
            <w:r/>
            <w:r>
              <w:rPr>
                <w:rFonts w:ascii="Aptos" w:hAnsi="Aptos"/>
                <w:b w:val="0"/>
                <w:color w:val="26352F"/>
                <w:sz w:val="16"/>
              </w:rPr>
              <w:t>Loan repayment confirmed</w:t>
            </w:r>
          </w:p>
        </w:tc>
        <w:tc>
          <w:tcPr>
            <w:tcW w:type="dxa" w:w="3360"/>
            <w:vAlign w:val="center"/>
          </w:tcPr>
          <w:p>
            <w:pPr>
              <w:spacing w:after="20"/>
            </w:pPr>
            <w:r/>
            <w:r>
              <w:rPr>
                <w:rFonts w:ascii="Aptos" w:hAnsi="Aptos"/>
                <w:b w:val="0"/>
                <w:color w:val="26352F"/>
                <w:sz w:val="16"/>
              </w:rPr>
              <w:t>Confirm repayment amount and updated outstanding balance if calculated.</w:t>
            </w:r>
          </w:p>
        </w:tc>
        <w:tc>
          <w:tcPr>
            <w:tcW w:type="dxa" w:w="3360"/>
            <w:vAlign w:val="center"/>
          </w:tcPr>
          <w:p>
            <w:pPr>
              <w:spacing w:after="20"/>
            </w:pPr>
            <w:r/>
            <w:r>
              <w:rPr>
                <w:rFonts w:ascii="Aptos" w:hAnsi="Aptos"/>
                <w:b w:val="0"/>
                <w:color w:val="26352F"/>
                <w:sz w:val="16"/>
              </w:rPr>
              <w:t>Send only after repayment allocation is committed.</w:t>
            </w:r>
          </w:p>
        </w:tc>
      </w:tr>
      <w:tr>
        <w:tc>
          <w:tcPr>
            <w:tcW w:type="dxa" w:w="3360"/>
            <w:vAlign w:val="center"/>
          </w:tcPr>
          <w:p>
            <w:pPr>
              <w:spacing w:after="20"/>
            </w:pPr>
            <w:r/>
            <w:r>
              <w:rPr>
                <w:rFonts w:ascii="Aptos" w:hAnsi="Aptos"/>
                <w:b w:val="0"/>
                <w:color w:val="26352F"/>
                <w:sz w:val="16"/>
              </w:rPr>
              <w:t>Withdrawal/disbursement</w:t>
            </w:r>
          </w:p>
        </w:tc>
        <w:tc>
          <w:tcPr>
            <w:tcW w:type="dxa" w:w="3360"/>
            <w:vAlign w:val="center"/>
          </w:tcPr>
          <w:p>
            <w:pPr>
              <w:spacing w:after="20"/>
            </w:pPr>
            <w:r/>
            <w:r>
              <w:rPr>
                <w:rFonts w:ascii="Aptos" w:hAnsi="Aptos"/>
                <w:b w:val="0"/>
                <w:color w:val="26352F"/>
                <w:sz w:val="16"/>
              </w:rPr>
              <w:t>Confirm the approved transaction and destination in masked form.</w:t>
            </w:r>
          </w:p>
        </w:tc>
        <w:tc>
          <w:tcPr>
            <w:tcW w:type="dxa" w:w="3360"/>
            <w:vAlign w:val="center"/>
          </w:tcPr>
          <w:p>
            <w:pPr>
              <w:spacing w:after="20"/>
            </w:pPr>
            <w:r/>
            <w:r>
              <w:rPr>
                <w:rFonts w:ascii="Aptos" w:hAnsi="Aptos"/>
                <w:b w:val="0"/>
                <w:color w:val="26352F"/>
                <w:sz w:val="16"/>
              </w:rPr>
              <w:t>Send after final provider confirmation and ledger update.</w:t>
            </w:r>
          </w:p>
        </w:tc>
      </w:tr>
      <w:tr>
        <w:tc>
          <w:tcPr>
            <w:tcW w:type="dxa" w:w="3360"/>
            <w:vAlign w:val="center"/>
          </w:tcPr>
          <w:p>
            <w:pPr>
              <w:spacing w:after="20"/>
            </w:pPr>
            <w:r/>
            <w:r>
              <w:rPr>
                <w:rFonts w:ascii="Aptos" w:hAnsi="Aptos"/>
                <w:b w:val="0"/>
                <w:color w:val="26352F"/>
                <w:sz w:val="16"/>
              </w:rPr>
              <w:t>Subscription paid</w:t>
            </w:r>
          </w:p>
        </w:tc>
        <w:tc>
          <w:tcPr>
            <w:tcW w:type="dxa" w:w="3360"/>
            <w:vAlign w:val="center"/>
          </w:tcPr>
          <w:p>
            <w:pPr>
              <w:spacing w:after="20"/>
            </w:pPr>
            <w:r/>
            <w:r>
              <w:rPr>
                <w:rFonts w:ascii="Aptos" w:hAnsi="Aptos"/>
                <w:b w:val="0"/>
                <w:color w:val="26352F"/>
                <w:sz w:val="16"/>
              </w:rPr>
              <w:t>Confirm plan, term and receipt reference.</w:t>
            </w:r>
          </w:p>
        </w:tc>
        <w:tc>
          <w:tcPr>
            <w:tcW w:type="dxa" w:w="3360"/>
            <w:vAlign w:val="center"/>
          </w:tcPr>
          <w:p>
            <w:pPr>
              <w:spacing w:after="20"/>
            </w:pPr>
            <w:r/>
            <w:r>
              <w:rPr>
                <w:rFonts w:ascii="Aptos" w:hAnsi="Aptos"/>
                <w:b w:val="0"/>
                <w:color w:val="26352F"/>
                <w:sz w:val="16"/>
              </w:rPr>
              <w:t>Send to the SACCO administrator contact after verified payment.</w:t>
            </w:r>
          </w:p>
        </w:tc>
      </w:tr>
      <w:tr>
        <w:tc>
          <w:tcPr>
            <w:tcW w:type="dxa" w:w="3360"/>
            <w:vAlign w:val="center"/>
          </w:tcPr>
          <w:p>
            <w:pPr>
              <w:spacing w:after="20"/>
            </w:pPr>
            <w:r/>
            <w:r>
              <w:rPr>
                <w:rFonts w:ascii="Aptos" w:hAnsi="Aptos"/>
                <w:b w:val="0"/>
                <w:color w:val="26352F"/>
                <w:sz w:val="16"/>
              </w:rPr>
              <w:t>Security event</w:t>
            </w:r>
          </w:p>
        </w:tc>
        <w:tc>
          <w:tcPr>
            <w:tcW w:type="dxa" w:w="3360"/>
            <w:vAlign w:val="center"/>
          </w:tcPr>
          <w:p>
            <w:pPr>
              <w:spacing w:after="20"/>
            </w:pPr>
            <w:r/>
            <w:r>
              <w:rPr>
                <w:rFonts w:ascii="Aptos" w:hAnsi="Aptos"/>
                <w:b w:val="0"/>
                <w:color w:val="26352F"/>
                <w:sz w:val="16"/>
              </w:rPr>
              <w:t>Alert on password/contact changes or unusual account activity.</w:t>
            </w:r>
          </w:p>
        </w:tc>
        <w:tc>
          <w:tcPr>
            <w:tcW w:type="dxa" w:w="3360"/>
            <w:vAlign w:val="center"/>
          </w:tcPr>
          <w:p>
            <w:pPr>
              <w:spacing w:after="20"/>
            </w:pPr>
            <w:r/>
            <w:r>
              <w:rPr>
                <w:rFonts w:ascii="Aptos" w:hAnsi="Aptos"/>
                <w:b w:val="0"/>
                <w:color w:val="26352F"/>
                <w:sz w:val="16"/>
              </w:rPr>
              <w:t>Do not include passwords, PINs, OTPs or sensitive full account details.</w:t>
            </w:r>
          </w:p>
        </w:tc>
      </w:tr>
    </w:tbl>
    <w:p>
      <w:pPr>
        <w:pStyle w:val="ListBullet"/>
        <w:spacing w:after="40"/>
      </w:pPr>
      <w:r>
        <w:t>Use a durable queue so temporary SMS provider failures do not lose messages.</w:t>
      </w:r>
    </w:p>
    <w:p>
      <w:pPr>
        <w:pStyle w:val="ListBullet"/>
        <w:spacing w:after="40"/>
      </w:pPr>
      <w:r>
        <w:t>Track provider request IDs and delivery status where available; cap retries and avoid sending duplicate messages.</w:t>
      </w:r>
    </w:p>
    <w:p>
      <w:pPr>
        <w:pStyle w:val="ListBullet"/>
        <w:spacing w:after="40"/>
      </w:pPr>
      <w:r>
        <w:t>Use templates with approved sender ID, clear SACCO/platform identity, local number normalization and message-length awareness.</w:t>
      </w:r>
    </w:p>
    <w:p>
      <w:pPr>
        <w:pStyle w:val="ListBullet"/>
        <w:spacing w:after="40"/>
      </w:pPr>
      <w:r>
        <w:t>Give each SACCO configurable notification preferences, while preserving mandatory security and regulatory notices where applicable.</w:t>
      </w:r>
    </w:p>
    <w:p>
      <w:pPr>
        <w:pStyle w:val="ListBullet"/>
        <w:spacing w:after="40"/>
      </w:pPr>
      <w:r>
        <w:t>Use the documented ioTec Messaging authentication method (the docs describe Client-Id and X-Api-Key headers); keep both secrets server-side.</w:t>
      </w:r>
    </w:p>
    <w:p>
      <w:pPr>
        <w:pStyle w:val="Heading1"/>
      </w:pPr>
      <w:r>
        <w:t>8. Data model (minimum recommended records)</w:t>
      </w:r>
    </w:p>
    <w:tbl>
      <w:tblPr>
        <w:tblStyle w:val="TableGrid"/>
        <w:tblW w:type="auto" w:w="0"/>
        <w:tblLook w:firstColumn="1" w:firstRow="1" w:lastColumn="0" w:lastRow="0" w:noHBand="0" w:noVBand="1" w:val="04A0"/>
      </w:tblPr>
      <w:tblGrid>
        <w:gridCol w:w="5040"/>
        <w:gridCol w:w="5040"/>
      </w:tblGrid>
      <w:tr>
        <w:tc>
          <w:tcPr>
            <w:tcW w:type="dxa" w:w="5040"/>
            <w:vAlign w:val="center"/>
            <w:shd w:fill="123D31"/>
          </w:tcPr>
          <w:p>
            <w:pPr>
              <w:spacing w:after="20"/>
            </w:pPr>
            <w:r/>
            <w:r>
              <w:rPr>
                <w:rFonts w:ascii="Aptos" w:hAnsi="Aptos"/>
                <w:b/>
                <w:color w:val="FFFFFF"/>
                <w:sz w:val="17"/>
              </w:rPr>
              <w:t>Record</w:t>
            </w:r>
          </w:p>
        </w:tc>
        <w:tc>
          <w:tcPr>
            <w:tcW w:type="dxa" w:w="5040"/>
            <w:vAlign w:val="center"/>
            <w:shd w:fill="123D31"/>
          </w:tcPr>
          <w:p>
            <w:pPr>
              <w:spacing w:after="20"/>
            </w:pPr>
            <w:r/>
            <w:r>
              <w:rPr>
                <w:rFonts w:ascii="Aptos" w:hAnsi="Aptos"/>
                <w:b/>
                <w:color w:val="FFFFFF"/>
                <w:sz w:val="17"/>
              </w:rPr>
              <w:t>Key fields / purpose</w:t>
            </w:r>
          </w:p>
        </w:tc>
      </w:tr>
      <w:tr>
        <w:tc>
          <w:tcPr>
            <w:tcW w:type="dxa" w:w="5040"/>
            <w:vAlign w:val="center"/>
          </w:tcPr>
          <w:p>
            <w:pPr>
              <w:spacing w:after="20"/>
            </w:pPr>
            <w:r/>
            <w:r>
              <w:rPr>
                <w:rFonts w:ascii="Aptos" w:hAnsi="Aptos"/>
                <w:b/>
                <w:color w:val="26352F"/>
                <w:sz w:val="16"/>
              </w:rPr>
              <w:t>tenants</w:t>
            </w:r>
          </w:p>
        </w:tc>
        <w:tc>
          <w:tcPr>
            <w:tcW w:type="dxa" w:w="5040"/>
            <w:vAlign w:val="center"/>
          </w:tcPr>
          <w:p>
            <w:pPr>
              <w:spacing w:after="20"/>
            </w:pPr>
            <w:r/>
            <w:r>
              <w:rPr>
                <w:rFonts w:ascii="Aptos" w:hAnsi="Aptos"/>
                <w:b w:val="0"/>
                <w:color w:val="26352F"/>
                <w:sz w:val="16"/>
              </w:rPr>
              <w:t>id, legal/display name, status, plan_id, subscription status, created_at</w:t>
            </w:r>
          </w:p>
        </w:tc>
      </w:tr>
      <w:tr>
        <w:tc>
          <w:tcPr>
            <w:tcW w:type="dxa" w:w="5040"/>
            <w:vAlign w:val="center"/>
          </w:tcPr>
          <w:p>
            <w:pPr>
              <w:spacing w:after="20"/>
            </w:pPr>
            <w:r/>
            <w:r>
              <w:rPr>
                <w:rFonts w:ascii="Aptos" w:hAnsi="Aptos"/>
                <w:b/>
                <w:color w:val="26352F"/>
                <w:sz w:val="16"/>
              </w:rPr>
              <w:t>subscription_orders</w:t>
            </w:r>
          </w:p>
        </w:tc>
        <w:tc>
          <w:tcPr>
            <w:tcW w:type="dxa" w:w="5040"/>
            <w:vAlign w:val="center"/>
          </w:tcPr>
          <w:p>
            <w:pPr>
              <w:spacing w:after="20"/>
            </w:pPr>
            <w:r/>
            <w:r>
              <w:rPr>
                <w:rFonts w:ascii="Aptos" w:hAnsi="Aptos"/>
                <w:b w:val="0"/>
                <w:color w:val="26352F"/>
                <w:sz w:val="16"/>
              </w:rPr>
              <w:t>id, tenant_id nullable before registration, plan, term, amount, currency, status, provider reference</w:t>
            </w:r>
          </w:p>
        </w:tc>
      </w:tr>
      <w:tr>
        <w:tc>
          <w:tcPr>
            <w:tcW w:type="dxa" w:w="5040"/>
            <w:vAlign w:val="center"/>
          </w:tcPr>
          <w:p>
            <w:pPr>
              <w:spacing w:after="20"/>
            </w:pPr>
            <w:r/>
            <w:r>
              <w:rPr>
                <w:rFonts w:ascii="Aptos" w:hAnsi="Aptos"/>
                <w:b/>
                <w:color w:val="26352F"/>
                <w:sz w:val="16"/>
              </w:rPr>
              <w:t>payment_intents</w:t>
            </w:r>
          </w:p>
        </w:tc>
        <w:tc>
          <w:tcPr>
            <w:tcW w:type="dxa" w:w="5040"/>
            <w:vAlign w:val="center"/>
          </w:tcPr>
          <w:p>
            <w:pPr>
              <w:spacing w:after="20"/>
            </w:pPr>
            <w:r/>
            <w:r>
              <w:rPr>
                <w:rFonts w:ascii="Aptos" w:hAnsi="Aptos"/>
                <w:b w:val="0"/>
                <w:color w:val="26352F"/>
                <w:sz w:val="16"/>
              </w:rPr>
              <w:t>id, tenant_id, domain, transaction_type, member_id nullable, amount, currency, provider, external reference, status</w:t>
            </w:r>
          </w:p>
        </w:tc>
      </w:tr>
      <w:tr>
        <w:tc>
          <w:tcPr>
            <w:tcW w:type="dxa" w:w="5040"/>
            <w:vAlign w:val="center"/>
          </w:tcPr>
          <w:p>
            <w:pPr>
              <w:spacing w:after="20"/>
            </w:pPr>
            <w:r/>
            <w:r>
              <w:rPr>
                <w:rFonts w:ascii="Aptos" w:hAnsi="Aptos"/>
                <w:b/>
                <w:color w:val="26352F"/>
                <w:sz w:val="16"/>
              </w:rPr>
              <w:t>provider_events</w:t>
            </w:r>
          </w:p>
        </w:tc>
        <w:tc>
          <w:tcPr>
            <w:tcW w:type="dxa" w:w="5040"/>
            <w:vAlign w:val="center"/>
          </w:tcPr>
          <w:p>
            <w:pPr>
              <w:spacing w:after="20"/>
            </w:pPr>
            <w:r/>
            <w:r>
              <w:rPr>
                <w:rFonts w:ascii="Aptos" w:hAnsi="Aptos"/>
                <w:b w:val="0"/>
                <w:color w:val="26352F"/>
                <w:sz w:val="16"/>
              </w:rPr>
              <w:t>id, provider, event/reference ID, received_at, verification status, payload hash, processing status</w:t>
            </w:r>
          </w:p>
        </w:tc>
      </w:tr>
      <w:tr>
        <w:tc>
          <w:tcPr>
            <w:tcW w:type="dxa" w:w="5040"/>
            <w:vAlign w:val="center"/>
          </w:tcPr>
          <w:p>
            <w:pPr>
              <w:spacing w:after="20"/>
            </w:pPr>
            <w:r/>
            <w:r>
              <w:rPr>
                <w:rFonts w:ascii="Aptos" w:hAnsi="Aptos"/>
                <w:b/>
                <w:color w:val="26352F"/>
                <w:sz w:val="16"/>
              </w:rPr>
              <w:t>ledger_transactions</w:t>
            </w:r>
          </w:p>
        </w:tc>
        <w:tc>
          <w:tcPr>
            <w:tcW w:type="dxa" w:w="5040"/>
            <w:vAlign w:val="center"/>
          </w:tcPr>
          <w:p>
            <w:pPr>
              <w:spacing w:after="20"/>
            </w:pPr>
            <w:r/>
            <w:r>
              <w:rPr>
                <w:rFonts w:ascii="Aptos" w:hAnsi="Aptos"/>
                <w:b w:val="0"/>
                <w:color w:val="26352F"/>
                <w:sz w:val="16"/>
              </w:rPr>
              <w:t>id, tenant_id, transaction reference, posting date, source payment intent, reversal_of nullable, created_by</w:t>
            </w:r>
          </w:p>
        </w:tc>
      </w:tr>
      <w:tr>
        <w:tc>
          <w:tcPr>
            <w:tcW w:type="dxa" w:w="5040"/>
            <w:vAlign w:val="center"/>
          </w:tcPr>
          <w:p>
            <w:pPr>
              <w:spacing w:after="20"/>
            </w:pPr>
            <w:r/>
            <w:r>
              <w:rPr>
                <w:rFonts w:ascii="Aptos" w:hAnsi="Aptos"/>
                <w:b/>
                <w:color w:val="26352F"/>
                <w:sz w:val="16"/>
              </w:rPr>
              <w:t>ledger_entries</w:t>
            </w:r>
          </w:p>
        </w:tc>
        <w:tc>
          <w:tcPr>
            <w:tcW w:type="dxa" w:w="5040"/>
            <w:vAlign w:val="center"/>
          </w:tcPr>
          <w:p>
            <w:pPr>
              <w:spacing w:after="20"/>
            </w:pPr>
            <w:r/>
            <w:r>
              <w:rPr>
                <w:rFonts w:ascii="Aptos" w:hAnsi="Aptos"/>
                <w:b w:val="0"/>
                <w:color w:val="26352F"/>
                <w:sz w:val="16"/>
              </w:rPr>
              <w:t>transaction_id, account_id, debit, credit, currency; balanced double-entry postings</w:t>
            </w:r>
          </w:p>
        </w:tc>
      </w:tr>
      <w:tr>
        <w:tc>
          <w:tcPr>
            <w:tcW w:type="dxa" w:w="5040"/>
            <w:vAlign w:val="center"/>
          </w:tcPr>
          <w:p>
            <w:pPr>
              <w:spacing w:after="20"/>
            </w:pPr>
            <w:r/>
            <w:r>
              <w:rPr>
                <w:rFonts w:ascii="Aptos" w:hAnsi="Aptos"/>
                <w:b/>
                <w:color w:val="26352F"/>
                <w:sz w:val="16"/>
              </w:rPr>
              <w:t>sms_outbox</w:t>
            </w:r>
          </w:p>
        </w:tc>
        <w:tc>
          <w:tcPr>
            <w:tcW w:type="dxa" w:w="5040"/>
            <w:vAlign w:val="center"/>
          </w:tcPr>
          <w:p>
            <w:pPr>
              <w:spacing w:after="20"/>
            </w:pPr>
            <w:r/>
            <w:r>
              <w:rPr>
                <w:rFonts w:ascii="Aptos" w:hAnsi="Aptos"/>
                <w:b w:val="0"/>
                <w:color w:val="26352F"/>
                <w:sz w:val="16"/>
              </w:rPr>
              <w:t>id, tenant_id, recipient masked/encrypted as appropriate, template, provider request ID, delivery status, retry count</w:t>
            </w:r>
          </w:p>
        </w:tc>
      </w:tr>
      <w:tr>
        <w:tc>
          <w:tcPr>
            <w:tcW w:type="dxa" w:w="5040"/>
            <w:vAlign w:val="center"/>
          </w:tcPr>
          <w:p>
            <w:pPr>
              <w:spacing w:after="20"/>
            </w:pPr>
            <w:r/>
            <w:r>
              <w:rPr>
                <w:rFonts w:ascii="Aptos" w:hAnsi="Aptos"/>
                <w:b/>
                <w:color w:val="26352F"/>
                <w:sz w:val="16"/>
              </w:rPr>
              <w:t>audit_events</w:t>
            </w:r>
          </w:p>
        </w:tc>
        <w:tc>
          <w:tcPr>
            <w:tcW w:type="dxa" w:w="5040"/>
            <w:vAlign w:val="center"/>
          </w:tcPr>
          <w:p>
            <w:pPr>
              <w:spacing w:after="20"/>
            </w:pPr>
            <w:r/>
            <w:r>
              <w:rPr>
                <w:rFonts w:ascii="Aptos" w:hAnsi="Aptos"/>
                <w:b w:val="0"/>
                <w:color w:val="26352F"/>
                <w:sz w:val="16"/>
              </w:rPr>
              <w:t>actor, tenant_id, action, target, timestamp, reason, correlation ID; append-only where feasible</w:t>
            </w:r>
          </w:p>
        </w:tc>
      </w:tr>
    </w:tbl>
    <w:p>
      <w:pPr>
        <w:pStyle w:val="Heading1"/>
      </w:pPr>
      <w:r>
        <w:t>9. Security, privacy and financial controls</w:t>
      </w:r>
    </w:p>
    <w:p>
      <w:pPr>
        <w:pStyle w:val="ListBullet"/>
        <w:spacing w:after="40"/>
      </w:pPr>
      <w:r>
        <w:t>Tenant isolation: derive tenant_id from authenticated server-side membership/claims; never accept it as the sole authority from a browser request. Test every API route for cross-tenant access.</w:t>
      </w:r>
    </w:p>
    <w:p>
      <w:pPr>
        <w:pStyle w:val="ListBullet"/>
        <w:spacing w:after="40"/>
      </w:pPr>
      <w:r>
        <w:t>Role-based access: separate SACCO owner/admin, cashier, accountant, loan officer, auditor and member permissions. Require stronger authentication for privileged roles.</w:t>
      </w:r>
    </w:p>
    <w:p>
      <w:pPr>
        <w:pStyle w:val="ListBullet"/>
        <w:spacing w:after="40"/>
      </w:pPr>
      <w:r>
        <w:t>Secrets: use a secret manager or encrypted environment configuration, rotate keys, limit access and redact credentials from logs.</w:t>
      </w:r>
    </w:p>
    <w:p>
      <w:pPr>
        <w:pStyle w:val="ListBullet"/>
        <w:spacing w:after="40"/>
      </w:pPr>
      <w:r>
        <w:t>Ledger integrity: posted transactions are immutable. Corrections use controlled reversal entries with reason, actor and audit reference; never silently delete or rewrite posted money movements.</w:t>
      </w:r>
    </w:p>
    <w:p>
      <w:pPr>
        <w:pStyle w:val="ListBullet"/>
        <w:spacing w:after="40"/>
      </w:pPr>
      <w:r>
        <w:t>Callback safety: verify authenticity where supported, enforce replay protection, idempotency and amount/currency/reference matching.</w:t>
      </w:r>
    </w:p>
    <w:p>
      <w:pPr>
        <w:pStyle w:val="ListBullet"/>
        <w:spacing w:after="40"/>
      </w:pPr>
      <w:r>
        <w:t>Privacy: collect only necessary member information, mask phone numbers in ordinary screens, define retention and access policies, and assess Uganda data-protection obligations before launch.</w:t>
      </w:r>
    </w:p>
    <w:p>
      <w:pPr>
        <w:pStyle w:val="ListBullet"/>
        <w:spacing w:after="40"/>
      </w:pPr>
      <w:r>
        <w:t>Operational controls: daily reconciliation, exception queue, admin alerts for mismatches, rate limiting, backups, restore drills and incident response procedures.</w:t>
      </w:r>
    </w:p>
    <w:p>
      <w:pPr>
        <w:pStyle w:val="ListBullet"/>
        <w:spacing w:after="40"/>
      </w:pPr>
      <w:r>
        <w:t>Disbursements: require maker-checker approval, beneficiary validation, limits, duplicate prevention and a separate reconciliation workflow before enabling payouts.</w:t>
      </w:r>
    </w:p>
    <w:p>
      <w:pPr>
        <w:pStyle w:val="Heading1"/>
      </w:pPr>
      <w:r>
        <w:t>10. Reconciliation and exception handling</w:t>
      </w:r>
    </w:p>
    <w:p>
      <w:r>
        <w:t>Run automatic reconciliation daily, and provide a manual finance view for investigating unmatched or delayed items.</w:t>
      </w:r>
    </w:p>
    <w:p>
      <w:pPr>
        <w:pStyle w:val="ListBullet"/>
        <w:spacing w:after="40"/>
      </w:pPr>
      <w:r>
        <w:t>Match internal reference, provider transaction ID, amount, currency, status and transaction date.</w:t>
      </w:r>
    </w:p>
    <w:p>
      <w:pPr>
        <w:pStyle w:val="ListBullet"/>
        <w:spacing w:after="40"/>
      </w:pPr>
      <w:r>
        <w:t>Flag provider success with no ledger posting; provider failure with a posted ledger transaction; amount mismatch; duplicate provider IDs; pending items older than the agreed threshold; and settlement mismatches.</w:t>
      </w:r>
    </w:p>
    <w:p>
      <w:pPr>
        <w:pStyle w:val="ListBullet"/>
        <w:spacing w:after="40"/>
      </w:pPr>
      <w:r>
        <w:t>Never automatically mark a transaction successful based only on a screenshot, SMS from a payer, client redirect or staff assertion.</w:t>
      </w:r>
    </w:p>
    <w:p>
      <w:pPr>
        <w:pStyle w:val="ListBullet"/>
        <w:spacing w:after="40"/>
      </w:pPr>
      <w:r>
        <w:t>Provide a restricted, audited exception-resolution workflow with mandatory reason and supporting evidence.</w:t>
      </w:r>
    </w:p>
    <w:p>
      <w:pPr>
        <w:pStyle w:val="ListBullet"/>
        <w:spacing w:after="40"/>
      </w:pPr>
      <w:r>
        <w:t>Record reversals/refunds as linked entries and reflect the provider's actual reversal status.</w:t>
      </w:r>
    </w:p>
    <w:p>
      <w:pPr>
        <w:pStyle w:val="Heading1"/>
      </w:pPr>
      <w:r>
        <w:t>11. Suggested backend services and API routes</w:t>
      </w:r>
    </w:p>
    <w:tbl>
      <w:tblPr>
        <w:tblStyle w:val="TableGrid"/>
        <w:tblW w:type="auto" w:w="0"/>
        <w:tblLook w:firstColumn="1" w:firstRow="1" w:lastColumn="0" w:lastRow="0" w:noHBand="0" w:noVBand="1" w:val="04A0"/>
      </w:tblPr>
      <w:tblGrid>
        <w:gridCol w:w="5040"/>
        <w:gridCol w:w="5040"/>
      </w:tblGrid>
      <w:tr>
        <w:tc>
          <w:tcPr>
            <w:tcW w:type="dxa" w:w="5040"/>
            <w:vAlign w:val="center"/>
            <w:shd w:fill="26734D"/>
          </w:tcPr>
          <w:p>
            <w:pPr>
              <w:spacing w:after="20"/>
            </w:pPr>
            <w:r/>
            <w:r>
              <w:rPr>
                <w:rFonts w:ascii="Aptos" w:hAnsi="Aptos"/>
                <w:b/>
                <w:color w:val="FFFFFF"/>
                <w:sz w:val="17"/>
              </w:rPr>
              <w:t>Service / route (illustrative)</w:t>
            </w:r>
          </w:p>
        </w:tc>
        <w:tc>
          <w:tcPr>
            <w:tcW w:type="dxa" w:w="5040"/>
            <w:vAlign w:val="center"/>
            <w:shd w:fill="26734D"/>
          </w:tcPr>
          <w:p>
            <w:pPr>
              <w:spacing w:after="20"/>
            </w:pPr>
            <w:r/>
            <w:r>
              <w:rPr>
                <w:rFonts w:ascii="Aptos" w:hAnsi="Aptos"/>
                <w:b/>
                <w:color w:val="FFFFFF"/>
                <w:sz w:val="17"/>
              </w:rPr>
              <w:t>Responsibility</w:t>
            </w:r>
          </w:p>
        </w:tc>
      </w:tr>
      <w:tr>
        <w:tc>
          <w:tcPr>
            <w:tcW w:type="dxa" w:w="5040"/>
            <w:vAlign w:val="center"/>
          </w:tcPr>
          <w:p>
            <w:pPr>
              <w:spacing w:after="20"/>
            </w:pPr>
            <w:r/>
            <w:r>
              <w:rPr>
                <w:rFonts w:ascii="Aptos" w:hAnsi="Aptos"/>
                <w:b/>
                <w:color w:val="26352F"/>
                <w:sz w:val="16"/>
              </w:rPr>
              <w:t>POST /api/payments/intents</w:t>
            </w:r>
          </w:p>
        </w:tc>
        <w:tc>
          <w:tcPr>
            <w:tcW w:type="dxa" w:w="5040"/>
            <w:vAlign w:val="center"/>
          </w:tcPr>
          <w:p>
            <w:pPr>
              <w:spacing w:after="20"/>
            </w:pPr>
            <w:r/>
            <w:r>
              <w:rPr>
                <w:rFonts w:ascii="Aptos" w:hAnsi="Aptos"/>
                <w:b w:val="0"/>
                <w:color w:val="26352F"/>
                <w:sz w:val="16"/>
              </w:rPr>
              <w:t>Authorize and create a pending payment intent; calculate amount server-side.</w:t>
            </w:r>
          </w:p>
        </w:tc>
      </w:tr>
      <w:tr>
        <w:tc>
          <w:tcPr>
            <w:tcW w:type="dxa" w:w="5040"/>
            <w:vAlign w:val="center"/>
          </w:tcPr>
          <w:p>
            <w:pPr>
              <w:spacing w:after="20"/>
            </w:pPr>
            <w:r/>
            <w:r>
              <w:rPr>
                <w:rFonts w:ascii="Aptos" w:hAnsi="Aptos"/>
                <w:b/>
                <w:color w:val="26352F"/>
                <w:sz w:val="16"/>
              </w:rPr>
              <w:t>POST /api/payments/{id}/request-collection</w:t>
            </w:r>
          </w:p>
        </w:tc>
        <w:tc>
          <w:tcPr>
            <w:tcW w:type="dxa" w:w="5040"/>
            <w:vAlign w:val="center"/>
          </w:tcPr>
          <w:p>
            <w:pPr>
              <w:spacing w:after="20"/>
            </w:pPr>
            <w:r/>
            <w:r>
              <w:rPr>
                <w:rFonts w:ascii="Aptos" w:hAnsi="Aptos"/>
                <w:b w:val="0"/>
                <w:color w:val="26352F"/>
                <w:sz w:val="16"/>
              </w:rPr>
              <w:t>Initiate ioTec collection using stored configuration and credentials.</w:t>
            </w:r>
          </w:p>
        </w:tc>
      </w:tr>
      <w:tr>
        <w:tc>
          <w:tcPr>
            <w:tcW w:type="dxa" w:w="5040"/>
            <w:vAlign w:val="center"/>
          </w:tcPr>
          <w:p>
            <w:pPr>
              <w:spacing w:after="20"/>
            </w:pPr>
            <w:r/>
            <w:r>
              <w:rPr>
                <w:rFonts w:ascii="Aptos" w:hAnsi="Aptos"/>
                <w:b/>
                <w:color w:val="26352F"/>
                <w:sz w:val="16"/>
              </w:rPr>
              <w:t>POST /api/webhooks/iotec/payments</w:t>
            </w:r>
          </w:p>
        </w:tc>
        <w:tc>
          <w:tcPr>
            <w:tcW w:type="dxa" w:w="5040"/>
            <w:vAlign w:val="center"/>
          </w:tcPr>
          <w:p>
            <w:pPr>
              <w:spacing w:after="20"/>
            </w:pPr>
            <w:r/>
            <w:r>
              <w:rPr>
                <w:rFonts w:ascii="Aptos" w:hAnsi="Aptos"/>
                <w:b w:val="0"/>
                <w:color w:val="26352F"/>
                <w:sz w:val="16"/>
              </w:rPr>
              <w:t>Receive callback, verify/process event idempotently, enqueue status verification if needed.</w:t>
            </w:r>
          </w:p>
        </w:tc>
      </w:tr>
      <w:tr>
        <w:tc>
          <w:tcPr>
            <w:tcW w:type="dxa" w:w="5040"/>
            <w:vAlign w:val="center"/>
          </w:tcPr>
          <w:p>
            <w:pPr>
              <w:spacing w:after="20"/>
            </w:pPr>
            <w:r/>
            <w:r>
              <w:rPr>
                <w:rFonts w:ascii="Aptos" w:hAnsi="Aptos"/>
                <w:b/>
                <w:color w:val="26352F"/>
                <w:sz w:val="16"/>
              </w:rPr>
              <w:t>GET /api/payments/{id}</w:t>
            </w:r>
          </w:p>
        </w:tc>
        <w:tc>
          <w:tcPr>
            <w:tcW w:type="dxa" w:w="5040"/>
            <w:vAlign w:val="center"/>
          </w:tcPr>
          <w:p>
            <w:pPr>
              <w:spacing w:after="20"/>
            </w:pPr>
            <w:r/>
            <w:r>
              <w:rPr>
                <w:rFonts w:ascii="Aptos" w:hAnsi="Aptos"/>
                <w:b w:val="0"/>
                <w:color w:val="26352F"/>
                <w:sz w:val="16"/>
              </w:rPr>
              <w:t>Return authorized user's current payment status without exposing provider secrets.</w:t>
            </w:r>
          </w:p>
        </w:tc>
      </w:tr>
      <w:tr>
        <w:tc>
          <w:tcPr>
            <w:tcW w:type="dxa" w:w="5040"/>
            <w:vAlign w:val="center"/>
          </w:tcPr>
          <w:p>
            <w:pPr>
              <w:spacing w:after="20"/>
            </w:pPr>
            <w:r/>
            <w:r>
              <w:rPr>
                <w:rFonts w:ascii="Aptos" w:hAnsi="Aptos"/>
                <w:b/>
                <w:color w:val="26352F"/>
                <w:sz w:val="16"/>
              </w:rPr>
              <w:t>POST /api/admin/reconciliation/run</w:t>
            </w:r>
          </w:p>
        </w:tc>
        <w:tc>
          <w:tcPr>
            <w:tcW w:type="dxa" w:w="5040"/>
            <w:vAlign w:val="center"/>
          </w:tcPr>
          <w:p>
            <w:pPr>
              <w:spacing w:after="20"/>
            </w:pPr>
            <w:r/>
            <w:r>
              <w:rPr>
                <w:rFonts w:ascii="Aptos" w:hAnsi="Aptos"/>
                <w:b w:val="0"/>
                <w:color w:val="26352F"/>
                <w:sz w:val="16"/>
              </w:rPr>
              <w:t>Restricted job trigger or admin action to reconcile provider records.</w:t>
            </w:r>
          </w:p>
        </w:tc>
      </w:tr>
      <w:tr>
        <w:tc>
          <w:tcPr>
            <w:tcW w:type="dxa" w:w="5040"/>
            <w:vAlign w:val="center"/>
          </w:tcPr>
          <w:p>
            <w:pPr>
              <w:spacing w:after="20"/>
            </w:pPr>
            <w:r/>
            <w:r>
              <w:rPr>
                <w:rFonts w:ascii="Aptos" w:hAnsi="Aptos"/>
                <w:b/>
                <w:color w:val="26352F"/>
                <w:sz w:val="16"/>
              </w:rPr>
              <w:t>POST /api/notifications/sms</w:t>
            </w:r>
          </w:p>
        </w:tc>
        <w:tc>
          <w:tcPr>
            <w:tcW w:type="dxa" w:w="5040"/>
            <w:vAlign w:val="center"/>
          </w:tcPr>
          <w:p>
            <w:pPr>
              <w:spacing w:after="20"/>
            </w:pPr>
            <w:r/>
            <w:r>
              <w:rPr>
                <w:rFonts w:ascii="Aptos" w:hAnsi="Aptos"/>
                <w:b w:val="0"/>
                <w:color w:val="26352F"/>
                <w:sz w:val="16"/>
              </w:rPr>
              <w:t>Queue an approved SMS template after authorization and business-event validation.</w:t>
            </w:r>
          </w:p>
        </w:tc>
      </w:tr>
      <w:tr>
        <w:tc>
          <w:tcPr>
            <w:tcW w:type="dxa" w:w="5040"/>
            <w:vAlign w:val="center"/>
          </w:tcPr>
          <w:p>
            <w:pPr>
              <w:spacing w:after="20"/>
            </w:pPr>
            <w:r/>
            <w:r>
              <w:rPr>
                <w:rFonts w:ascii="Aptos" w:hAnsi="Aptos"/>
                <w:b/>
                <w:color w:val="26352F"/>
                <w:sz w:val="16"/>
              </w:rPr>
              <w:t>POST /api/webhooks/iotec/messaging</w:t>
            </w:r>
          </w:p>
        </w:tc>
        <w:tc>
          <w:tcPr>
            <w:tcW w:type="dxa" w:w="5040"/>
            <w:vAlign w:val="center"/>
          </w:tcPr>
          <w:p>
            <w:pPr>
              <w:spacing w:after="20"/>
            </w:pPr>
            <w:r/>
            <w:r>
              <w:rPr>
                <w:rFonts w:ascii="Aptos" w:hAnsi="Aptos"/>
                <w:b w:val="0"/>
                <w:color w:val="26352F"/>
                <w:sz w:val="16"/>
              </w:rPr>
              <w:t>Receive delivery updates if the messaging product supports configured callbacks.</w:t>
            </w:r>
          </w:p>
        </w:tc>
      </w:tr>
    </w:tbl>
    <w:p>
      <w:pPr>
        <w:pStyle w:val="Heading1"/>
      </w:pPr>
      <w:r>
        <w:t>12. Testing and launch checklist</w:t>
      </w:r>
    </w:p>
    <w:p>
      <w:pPr>
        <w:pStyle w:val="ListBullet"/>
        <w:spacing w:after="40"/>
      </w:pPr>
      <w:r>
        <w:t>☐ Sandbox/test environment configured separately from production.</w:t>
      </w:r>
    </w:p>
    <w:p>
      <w:pPr>
        <w:pStyle w:val="ListBullet"/>
        <w:spacing w:after="40"/>
      </w:pPr>
      <w:r>
        <w:t>☐ Test MTN and Airtel routes individually with ioTec-approved test cases.</w:t>
      </w:r>
    </w:p>
    <w:p>
      <w:pPr>
        <w:pStyle w:val="ListBullet"/>
        <w:spacing w:after="40"/>
      </w:pPr>
      <w:r>
        <w:t>☐ Test pending, success, failure, timeout, late callback, duplicate callback and callback replay.</w:t>
      </w:r>
    </w:p>
    <w:p>
      <w:pPr>
        <w:pStyle w:val="ListBullet"/>
        <w:spacing w:after="40"/>
      </w:pPr>
      <w:r>
        <w:t>☐ Test incorrect amount, currency mismatch, unknown reference, wrong tenant and unauthorized user.</w:t>
      </w:r>
    </w:p>
    <w:p>
      <w:pPr>
        <w:pStyle w:val="ListBullet"/>
        <w:spacing w:after="40"/>
      </w:pPr>
      <w:r>
        <w:t>☐ Verify that subscription access is granted only after confirmed payment; trial registration does not create a fake payment.</w:t>
      </w:r>
    </w:p>
    <w:p>
      <w:pPr>
        <w:pStyle w:val="ListBullet"/>
        <w:spacing w:after="40"/>
      </w:pPr>
      <w:r>
        <w:t>☐ Verify a successful collection creates exactly one balanced ledger transaction.</w:t>
      </w:r>
    </w:p>
    <w:p>
      <w:pPr>
        <w:pStyle w:val="ListBullet"/>
        <w:spacing w:after="40"/>
      </w:pPr>
      <w:r>
        <w:t>☐ Verify failed/pending payments do not change member balances.</w:t>
      </w:r>
    </w:p>
    <w:p>
      <w:pPr>
        <w:pStyle w:val="ListBullet"/>
        <w:spacing w:after="40"/>
      </w:pPr>
      <w:r>
        <w:t>☐ Test SMS sent, delivered, failed, throttled and retry scenarios.</w:t>
      </w:r>
    </w:p>
    <w:p>
      <w:pPr>
        <w:pStyle w:val="ListBullet"/>
        <w:spacing w:after="40"/>
      </w:pPr>
      <w:r>
        <w:t>☐ Reconcile sample provider records against internal transactions and settlement statements.</w:t>
      </w:r>
    </w:p>
    <w:p>
      <w:pPr>
        <w:pStyle w:val="ListBullet"/>
        <w:spacing w:after="40"/>
      </w:pPr>
      <w:r>
        <w:t>☐ Run tenant-isolation, permission, load, backup-restore and security tests.</w:t>
      </w:r>
    </w:p>
    <w:p>
      <w:pPr>
        <w:pStyle w:val="ListBullet"/>
        <w:spacing w:after="40"/>
      </w:pPr>
      <w:r>
        <w:t>☐ Complete provider production approval, credentials management, settlement verification, support escalation and operational runbooks.</w:t>
      </w:r>
    </w:p>
    <w:p>
      <w:pPr>
        <w:pStyle w:val="ListBullet"/>
        <w:spacing w:after="40"/>
      </w:pPr>
      <w:r>
        <w:t>☐ Review legal, accounting, data-protection and SACCO-specific requirements with qualified local professionals before handling live funds.</w:t>
      </w:r>
    </w:p>
    <w:p>
      <w:pPr>
        <w:pStyle w:val="Heading1"/>
      </w:pPr>
      <w:r>
        <w:t>13. Implementation phases</w:t>
      </w:r>
    </w:p>
    <w:p>
      <w:pPr>
        <w:spacing w:after="60"/>
      </w:pPr>
      <w:r>
        <w:rPr>
          <w:b/>
          <w:color w:val="26734D"/>
        </w:rPr>
        <w:t xml:space="preserve">Phase 1 — Provider onboarding: </w:t>
      </w:r>
      <w:r>
        <w:t>Open/verify ioTec account, confirm MTN/Airtel collection routes, merchant approvals, settlement, fees, limits, callbacks and test credentials.</w:t>
      </w:r>
    </w:p>
    <w:p>
      <w:pPr>
        <w:spacing w:after="60"/>
      </w:pPr>
      <w:r>
        <w:rPr>
          <w:b/>
          <w:color w:val="26734D"/>
        </w:rPr>
        <w:t xml:space="preserve">Phase 2 — Core payment engine: </w:t>
      </w:r>
      <w:r>
        <w:t>Build payment intents, secure token handling, collection requests, status verification, webhook handling and idempotency.</w:t>
      </w:r>
    </w:p>
    <w:p>
      <w:pPr>
        <w:spacing w:after="60"/>
      </w:pPr>
      <w:r>
        <w:rPr>
          <w:b/>
          <w:color w:val="26734D"/>
        </w:rPr>
        <w:t xml:space="preserve">Phase 3 — Subscription billing: </w:t>
      </w:r>
      <w:r>
        <w:t>Connect plans and checkout; activate paid subscriptions only after verified success; build trial flow and receipts.</w:t>
      </w:r>
    </w:p>
    <w:p>
      <w:pPr>
        <w:spacing w:after="60"/>
      </w:pPr>
      <w:r>
        <w:rPr>
          <w:b/>
          <w:color w:val="26734D"/>
        </w:rPr>
        <w:t xml:space="preserve">Phase 4 — SACCO ledger integration: </w:t>
      </w:r>
      <w:r>
        <w:t>Map each payment type to accounting rules and balanced ledger postings; add reversal and reconciliation workflows.</w:t>
      </w:r>
    </w:p>
    <w:p>
      <w:pPr>
        <w:spacing w:after="60"/>
      </w:pPr>
      <w:r>
        <w:rPr>
          <w:b/>
          <w:color w:val="26734D"/>
        </w:rPr>
        <w:t xml:space="preserve">Phase 5 — SMS service: </w:t>
      </w:r>
      <w:r>
        <w:t>Add templates, durable queue, delivery tracking, retries, consent/preferences and notification settings.</w:t>
      </w:r>
    </w:p>
    <w:p>
      <w:pPr>
        <w:spacing w:after="60"/>
      </w:pPr>
      <w:r>
        <w:rPr>
          <w:b/>
          <w:color w:val="26734D"/>
        </w:rPr>
        <w:t xml:space="preserve">Phase 6 — Pilot and launch: </w:t>
      </w:r>
      <w:r>
        <w:t>Run end-to-end tests with a small pilot SACCO, reconcile real test transactions, monitor exceptions, then roll out gradually.</w:t>
      </w:r>
    </w:p>
    <w:p>
      <w:pPr>
        <w:pStyle w:val="Heading1"/>
      </w:pPr>
      <w:r>
        <w:t>14. Official references and items to confirm</w:t>
      </w:r>
    </w:p>
    <w:p>
      <w:pPr>
        <w:pStyle w:val="ListBullet"/>
        <w:spacing w:after="40"/>
      </w:pPr>
      <w:r>
        <w:rPr>
          <w:b/>
        </w:rPr>
        <w:t xml:space="preserve">ioTec Pay API documentation: </w:t>
      </w:r>
      <w:r>
        <w:t>https://pay.iotec.io/api-docs/index.html</w:t>
      </w:r>
    </w:p>
    <w:p>
      <w:pPr>
        <w:pStyle w:val="ListBullet"/>
        <w:spacing w:after="40"/>
      </w:pPr>
      <w:r>
        <w:rPr>
          <w:b/>
        </w:rPr>
        <w:t xml:space="preserve">ioTec Messaging API documentation: </w:t>
      </w:r>
      <w:r>
        <w:t>https://www.messaging-api.iotec.io/api-docs/index.html</w:t>
      </w:r>
    </w:p>
    <w:p>
      <w:pPr>
        <w:pStyle w:val="ListBullet"/>
        <w:spacing w:after="40"/>
      </w:pPr>
      <w:r>
        <w:rPr>
          <w:b/>
        </w:rPr>
        <w:t xml:space="preserve">ioTec Pay product overview: </w:t>
      </w:r>
      <w:r>
        <w:t>https://iotec.io/products/pay</w:t>
      </w:r>
    </w:p>
    <w:p>
      <w:r>
        <w:t>Before coding against production, confirm the current API schema, required callback verification, supported MTN/Airtel flows, production approval, fees, settlement timelines, refund/reversal handling, limits and support arrangements directly with ioTec. Provider APIs and commercial terms can change; the official documentation and written provider confirmation take precedence.</w:t>
      </w:r>
    </w:p>
    <w:p>
      <w:pPr>
        <w:pStyle w:val="Heading1"/>
      </w:pPr>
      <w:r>
        <w:t>15. Copy-ready instruction for the development team</w:t>
      </w:r>
    </w:p>
    <w:p>
      <w:pPr>
        <w:spacing w:before="80" w:after="160"/>
        <w:ind w:left="288" w:right="288"/>
      </w:pPr>
      <w:r>
        <w:rPr>
          <w:i/>
          <w:color w:val="123D31"/>
        </w:rPr>
        <w:t>Integrate ioTec Pay and ioTec Messaging into the multi-tenant SACCO SaaS using server-side services only. Support MTN MoMo and Airtel Money collections subject to provider enablement. Keep SaaS subscription payments separate from SACCO member funds. Use unique internal references, verified provider statuses, secure callbacks, idempotent processing, double-entry ledger posting, immutable posted transactions, audit trails, reconciliation and a durable SMS outbox. Never activate paid access or credit a member account based only on a browser redirect, screenshot or unverified callback. Do not expose provider credentials to the client. Implement automated tests for pending/success/failure/duplicate callbacks, tenant isolation, amount mismatch, SMS failures and reconciliation exceptions. Use the current official ioTec documentation and confirm production details with ioTec before launch.</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3716A"/>
        <w:sz w:val="16"/>
      </w:rPr>
      <w:t>ioTec Payments &amp; SMS Integration Blueprint • Draft for implementation planning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52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D3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673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673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D3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