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4CAF67"/>
          <w:sz w:val="32"/>
        </w:rPr>
        <w:t>SACCO SAAS PLATFORM</w:t>
      </w:r>
    </w:p>
    <w:p>
      <w:pPr>
        <w:jc w:val="center"/>
      </w:pPr>
      <w:r>
        <w:rPr>
          <w:b/>
          <w:color w:val="123D31"/>
          <w:sz w:val="58"/>
        </w:rPr>
        <w:t>VISUAL DESIGN BLUEPRINT</w:t>
      </w:r>
    </w:p>
    <w:p>
      <w:pPr>
        <w:jc w:val="center"/>
      </w:pPr>
      <w:r>
        <w:rPr>
          <w:color w:val="63716A"/>
          <w:sz w:val="26"/>
        </w:rPr>
        <w:t>Green-and-white fintech aesthetic inspired by your reference screenshot</w:t>
      </w:r>
    </w:p>
    <w:p/>
    <w:tbl>
      <w:tblPr>
        <w:tblStyle w:val="TableGrid"/>
        <w:tblW w:type="auto" w:w="0"/>
        <w:tblLook w:firstColumn="1" w:firstRow="1" w:lastColumn="0" w:lastRow="0" w:noHBand="0" w:noVBand="1" w:val="04A0"/>
      </w:tblPr>
      <w:tblGrid>
        <w:gridCol w:w="9936"/>
      </w:tblGrid>
      <w:tr>
        <w:tc>
          <w:tcPr>
            <w:tcW w:type="dxa" w:w="9936"/>
            <w:shd w:fill="EFFAF1"/>
          </w:tcPr>
          <w:p>
            <w:pPr>
              <w:spacing w:after="60"/>
            </w:pPr>
            <w:r/>
            <w:r>
              <w:rPr>
                <w:b/>
                <w:color w:val="123D31"/>
                <w:sz w:val="20"/>
              </w:rPr>
              <w:t>DESIGN INTENT</w:t>
              <w:br/>
            </w:r>
            <w:r>
              <w:rPr>
                <w:color w:val="26352F"/>
                <w:sz w:val="19"/>
              </w:rPr>
              <w:t>Create an original, polished SACCO software brand using a pale mint-green background, deep forest-green typography, clean white panels, fresh green action buttons, subtle geometric details and a clear financial dashboard preview.</w:t>
            </w:r>
          </w:p>
        </w:tc>
      </w:tr>
    </w:tbl>
    <w:p/>
    <w:p>
      <w:pPr>
        <w:spacing w:before="600"/>
        <w:jc w:val="center"/>
      </w:pPr>
      <w:r>
        <w:rPr>
          <w:b/>
          <w:color w:val="123D31"/>
          <w:sz w:val="20"/>
        </w:rPr>
        <w:t>Responsive website • Member portal • SACCO dashboard • Mobile and tablet layouts</w:t>
      </w:r>
    </w:p>
    <w:p>
      <w:pPr>
        <w:jc w:val="center"/>
      </w:pPr>
      <w:r>
        <w:rPr>
          <w:color w:val="63716A"/>
          <w:sz w:val="18"/>
        </w:rPr>
        <w:t>Prepared for product design and implementation • October 2026</w:t>
      </w:r>
    </w:p>
    <w:p>
      <w:r>
        <w:br w:type="page"/>
      </w:r>
    </w:p>
    <w:p>
      <w:pPr>
        <w:pStyle w:val="Heading1"/>
        <w:keepNext/>
      </w:pPr>
      <w:r>
        <w:t>1. Purpose of this design blueprint</w:t>
      </w:r>
    </w:p>
    <w:p>
      <w:r>
        <w:t>This document records the visual direction selected from the screenshot shared by the project owner. It is intended to be kept alongside the broader SACCO SaaS product blueprint and used by designers, developers and AI website-building tools.</w:t>
      </w:r>
    </w:p>
    <w:tbl>
      <w:tblPr>
        <w:tblStyle w:val="TableGrid"/>
        <w:tblW w:type="auto" w:w="0"/>
        <w:tblLook w:firstColumn="1" w:firstRow="1" w:lastColumn="0" w:lastRow="0" w:noHBand="0" w:noVBand="1" w:val="04A0"/>
      </w:tblPr>
      <w:tblGrid>
        <w:gridCol w:w="9936"/>
      </w:tblGrid>
      <w:tr>
        <w:tc>
          <w:tcPr>
            <w:tcW w:type="dxa" w:w="9936"/>
            <w:shd w:fill="EFFAF1"/>
          </w:tcPr>
          <w:p>
            <w:pPr>
              <w:spacing w:after="60"/>
            </w:pPr>
            <w:r/>
            <w:r>
              <w:rPr>
                <w:b/>
                <w:color w:val="123D31"/>
                <w:sz w:val="20"/>
              </w:rPr>
              <w:t>REFERENCE, NOT A CLONE</w:t>
              <w:br/>
            </w:r>
            <w:r>
              <w:rPr>
                <w:color w:val="26352F"/>
                <w:sz w:val="19"/>
              </w:rPr>
              <w:t>Use the screenshot as inspiration for layout, visual hierarchy and color mood. Create original brand names, copy, icons, dashboard data, illustrations and components. Do not reproduce the reference company's logo or proprietary assets.</w:t>
            </w:r>
          </w:p>
        </w:tc>
      </w:tr>
    </w:tbl>
    <w:p/>
    <w:p>
      <w:pPr>
        <w:pStyle w:val="Heading1"/>
        <w:keepNext/>
      </w:pPr>
      <w:r>
        <w:t>2. Overall visual direction</w:t>
      </w:r>
    </w:p>
    <w:p>
      <w:pPr>
        <w:pStyle w:val="ListBullet"/>
        <w:spacing w:after="40"/>
      </w:pPr>
      <w:r>
        <w:t>Professional, calm, trustworthy fintech appearance—not a crowded or overly decorative banking interface.</w:t>
      </w:r>
    </w:p>
    <w:p>
      <w:pPr>
        <w:pStyle w:val="ListBullet"/>
        <w:spacing w:after="40"/>
      </w:pPr>
      <w:r>
        <w:t>Pale mint-green hero background with subtle abstract geometric shapes or gradients.</w:t>
      </w:r>
    </w:p>
    <w:p>
      <w:pPr>
        <w:pStyle w:val="ListBullet"/>
        <w:spacing w:after="40"/>
      </w:pPr>
      <w:r>
        <w:t>Deep forest-green headlines and body emphasis for contrast and brand recognition.</w:t>
      </w:r>
    </w:p>
    <w:p>
      <w:pPr>
        <w:pStyle w:val="ListBullet"/>
        <w:spacing w:after="40"/>
      </w:pPr>
      <w:r>
        <w:t>White or near-white dashboard cards with soft borders and restrained shadows.</w:t>
      </w:r>
    </w:p>
    <w:p>
      <w:pPr>
        <w:pStyle w:val="ListBullet"/>
        <w:spacing w:after="40"/>
      </w:pPr>
      <w:r>
        <w:t>Fresh green primary buttons with rounded corners and clear action labels.</w:t>
      </w:r>
    </w:p>
    <w:p>
      <w:pPr>
        <w:pStyle w:val="ListBullet"/>
        <w:spacing w:after="40"/>
      </w:pPr>
      <w:r>
        <w:t>A generous amount of whitespace, consistent spacing and simple typography.</w:t>
      </w:r>
    </w:p>
    <w:p>
      <w:pPr>
        <w:pStyle w:val="ListBullet"/>
        <w:spacing w:after="40"/>
      </w:pPr>
      <w:r>
        <w:t>Use real product UI mockups or original dashboard previews instead of generic stock photography where possible.</w:t>
      </w:r>
    </w:p>
    <w:p>
      <w:pPr>
        <w:pStyle w:val="Heading1"/>
        <w:keepNext/>
      </w:pPr>
      <w:r>
        <w:t>3. Color system</w:t>
      </w:r>
    </w:p>
    <w:tbl>
      <w:tblPr>
        <w:tblStyle w:val="TableGrid"/>
        <w:tblW w:type="auto" w:w="0"/>
        <w:jc w:val="center"/>
        <w:tblLook w:firstColumn="1" w:firstRow="1" w:lastColumn="0" w:lastRow="0" w:noHBand="0" w:noVBand="1" w:val="04A0"/>
      </w:tblPr>
      <w:tblGrid>
        <w:gridCol w:w="3312"/>
        <w:gridCol w:w="3312"/>
        <w:gridCol w:w="3312"/>
      </w:tblGrid>
      <w:tr>
        <w:tc>
          <w:tcPr>
            <w:tcW w:type="dxa" w:w="2016"/>
            <w:vAlign w:val="center"/>
            <w:shd w:fill="123D31"/>
          </w:tcPr>
          <w:p>
            <w:pPr>
              <w:spacing w:after="20"/>
            </w:pPr>
            <w:r/>
            <w:r>
              <w:rPr>
                <w:rFonts w:ascii="Aptos" w:hAnsi="Aptos"/>
                <w:b/>
                <w:color w:val="FFFFFF"/>
                <w:sz w:val="18"/>
              </w:rPr>
              <w:t>Token</w:t>
            </w:r>
          </w:p>
        </w:tc>
        <w:tc>
          <w:tcPr>
            <w:tcW w:type="dxa" w:w="1728"/>
            <w:vAlign w:val="center"/>
            <w:shd w:fill="123D31"/>
          </w:tcPr>
          <w:p>
            <w:pPr>
              <w:spacing w:after="20"/>
            </w:pPr>
            <w:r/>
            <w:r>
              <w:rPr>
                <w:rFonts w:ascii="Aptos" w:hAnsi="Aptos"/>
                <w:b/>
                <w:color w:val="FFFFFF"/>
                <w:sz w:val="18"/>
              </w:rPr>
              <w:t>Hex value</w:t>
            </w:r>
          </w:p>
        </w:tc>
        <w:tc>
          <w:tcPr>
            <w:tcW w:type="dxa" w:w="6048"/>
            <w:vAlign w:val="center"/>
            <w:shd w:fill="123D31"/>
          </w:tcPr>
          <w:p>
            <w:pPr>
              <w:spacing w:after="20"/>
            </w:pPr>
            <w:r/>
            <w:r>
              <w:rPr>
                <w:rFonts w:ascii="Aptos" w:hAnsi="Aptos"/>
                <w:b/>
                <w:color w:val="FFFFFF"/>
                <w:sz w:val="18"/>
              </w:rPr>
              <w:t>Usage</w:t>
            </w:r>
          </w:p>
        </w:tc>
      </w:tr>
      <w:tr>
        <w:tc>
          <w:tcPr>
            <w:tcW w:type="dxa" w:w="2016"/>
            <w:vAlign w:val="center"/>
          </w:tcPr>
          <w:p>
            <w:pPr>
              <w:spacing w:after="20"/>
            </w:pPr>
            <w:r/>
            <w:r>
              <w:rPr>
                <w:rFonts w:ascii="Aptos" w:hAnsi="Aptos"/>
                <w:b w:val="0"/>
                <w:color w:val="26352F"/>
                <w:sz w:val="17"/>
              </w:rPr>
              <w:t>Soft mint</w:t>
            </w:r>
          </w:p>
        </w:tc>
        <w:tc>
          <w:tcPr>
            <w:tcW w:type="dxa" w:w="1728"/>
            <w:vAlign w:val="center"/>
          </w:tcPr>
          <w:p>
            <w:pPr>
              <w:spacing w:after="20"/>
            </w:pPr>
            <w:r/>
            <w:r>
              <w:rPr>
                <w:rFonts w:ascii="Aptos" w:hAnsi="Aptos"/>
                <w:b w:val="0"/>
                <w:color w:val="26352F"/>
                <w:sz w:val="17"/>
              </w:rPr>
              <w:t>#D8F3DC</w:t>
            </w:r>
          </w:p>
        </w:tc>
        <w:tc>
          <w:tcPr>
            <w:tcW w:type="dxa" w:w="6048"/>
            <w:vAlign w:val="center"/>
          </w:tcPr>
          <w:p>
            <w:pPr>
              <w:spacing w:after="20"/>
            </w:pPr>
            <w:r/>
            <w:r>
              <w:rPr>
                <w:rFonts w:ascii="Aptos" w:hAnsi="Aptos"/>
                <w:b w:val="0"/>
                <w:color w:val="26352F"/>
                <w:sz w:val="17"/>
              </w:rPr>
              <w:t>Hero backgrounds, highlighted sections and gentle emphasis</w:t>
            </w:r>
          </w:p>
        </w:tc>
      </w:tr>
      <w:tr>
        <w:tc>
          <w:tcPr>
            <w:tcW w:type="dxa" w:w="2016"/>
            <w:vAlign w:val="center"/>
            <w:shd w:fill="F5F9F6"/>
          </w:tcPr>
          <w:p>
            <w:pPr>
              <w:spacing w:after="20"/>
            </w:pPr>
            <w:r/>
            <w:r>
              <w:rPr>
                <w:rFonts w:ascii="Aptos" w:hAnsi="Aptos"/>
                <w:b w:val="0"/>
                <w:color w:val="26352F"/>
                <w:sz w:val="17"/>
              </w:rPr>
              <w:t>Forest green</w:t>
            </w:r>
          </w:p>
        </w:tc>
        <w:tc>
          <w:tcPr>
            <w:tcW w:type="dxa" w:w="1728"/>
            <w:vAlign w:val="center"/>
            <w:shd w:fill="F5F9F6"/>
          </w:tcPr>
          <w:p>
            <w:pPr>
              <w:spacing w:after="20"/>
            </w:pPr>
            <w:r/>
            <w:r>
              <w:rPr>
                <w:rFonts w:ascii="Aptos" w:hAnsi="Aptos"/>
                <w:b w:val="0"/>
                <w:color w:val="26352F"/>
                <w:sz w:val="17"/>
              </w:rPr>
              <w:t>#123D31</w:t>
            </w:r>
          </w:p>
        </w:tc>
        <w:tc>
          <w:tcPr>
            <w:tcW w:type="dxa" w:w="6048"/>
            <w:vAlign w:val="center"/>
            <w:shd w:fill="F5F9F6"/>
          </w:tcPr>
          <w:p>
            <w:pPr>
              <w:spacing w:after="20"/>
            </w:pPr>
            <w:r/>
            <w:r>
              <w:rPr>
                <w:rFonts w:ascii="Aptos" w:hAnsi="Aptos"/>
                <w:b w:val="0"/>
                <w:color w:val="26352F"/>
                <w:sz w:val="17"/>
              </w:rPr>
              <w:t>Logo treatment, main headings, navigation emphasis and primary text</w:t>
            </w:r>
          </w:p>
        </w:tc>
      </w:tr>
      <w:tr>
        <w:tc>
          <w:tcPr>
            <w:tcW w:type="dxa" w:w="2016"/>
            <w:vAlign w:val="center"/>
          </w:tcPr>
          <w:p>
            <w:pPr>
              <w:spacing w:after="20"/>
            </w:pPr>
            <w:r/>
            <w:r>
              <w:rPr>
                <w:rFonts w:ascii="Aptos" w:hAnsi="Aptos"/>
                <w:b w:val="0"/>
                <w:color w:val="26352F"/>
                <w:sz w:val="17"/>
              </w:rPr>
              <w:t>Action green</w:t>
            </w:r>
          </w:p>
        </w:tc>
        <w:tc>
          <w:tcPr>
            <w:tcW w:type="dxa" w:w="1728"/>
            <w:vAlign w:val="center"/>
          </w:tcPr>
          <w:p>
            <w:pPr>
              <w:spacing w:after="20"/>
            </w:pPr>
            <w:r/>
            <w:r>
              <w:rPr>
                <w:rFonts w:ascii="Aptos" w:hAnsi="Aptos"/>
                <w:b w:val="0"/>
                <w:color w:val="26352F"/>
                <w:sz w:val="17"/>
              </w:rPr>
              <w:t>#4CAF67</w:t>
            </w:r>
          </w:p>
        </w:tc>
        <w:tc>
          <w:tcPr>
            <w:tcW w:type="dxa" w:w="6048"/>
            <w:vAlign w:val="center"/>
          </w:tcPr>
          <w:p>
            <w:pPr>
              <w:spacing w:after="20"/>
            </w:pPr>
            <w:r/>
            <w:r>
              <w:rPr>
                <w:rFonts w:ascii="Aptos" w:hAnsi="Aptos"/>
                <w:b w:val="0"/>
                <w:color w:val="26352F"/>
                <w:sz w:val="17"/>
              </w:rPr>
              <w:t>Primary buttons, active states, success indicators and selected links</w:t>
            </w:r>
          </w:p>
        </w:tc>
      </w:tr>
      <w:tr>
        <w:tc>
          <w:tcPr>
            <w:tcW w:type="dxa" w:w="2016"/>
            <w:vAlign w:val="center"/>
            <w:shd w:fill="F5F9F6"/>
          </w:tcPr>
          <w:p>
            <w:pPr>
              <w:spacing w:after="20"/>
            </w:pPr>
            <w:r/>
            <w:r>
              <w:rPr>
                <w:rFonts w:ascii="Aptos" w:hAnsi="Aptos"/>
                <w:b w:val="0"/>
                <w:color w:val="26352F"/>
                <w:sz w:val="17"/>
              </w:rPr>
              <w:t>Clean white</w:t>
            </w:r>
          </w:p>
        </w:tc>
        <w:tc>
          <w:tcPr>
            <w:tcW w:type="dxa" w:w="1728"/>
            <w:vAlign w:val="center"/>
            <w:shd w:fill="F5F9F6"/>
          </w:tcPr>
          <w:p>
            <w:pPr>
              <w:spacing w:after="20"/>
            </w:pPr>
            <w:r/>
            <w:r>
              <w:rPr>
                <w:rFonts w:ascii="Aptos" w:hAnsi="Aptos"/>
                <w:b w:val="0"/>
                <w:color w:val="26352F"/>
                <w:sz w:val="17"/>
              </w:rPr>
              <w:t>#FFFFFF</w:t>
            </w:r>
          </w:p>
        </w:tc>
        <w:tc>
          <w:tcPr>
            <w:tcW w:type="dxa" w:w="6048"/>
            <w:vAlign w:val="center"/>
            <w:shd w:fill="F5F9F6"/>
          </w:tcPr>
          <w:p>
            <w:pPr>
              <w:spacing w:after="20"/>
            </w:pPr>
            <w:r/>
            <w:r>
              <w:rPr>
                <w:rFonts w:ascii="Aptos" w:hAnsi="Aptos"/>
                <w:b w:val="0"/>
                <w:color w:val="26352F"/>
                <w:sz w:val="17"/>
              </w:rPr>
              <w:t>Cards, menus, dashboard panels and forms</w:t>
            </w:r>
          </w:p>
        </w:tc>
      </w:tr>
      <w:tr>
        <w:tc>
          <w:tcPr>
            <w:tcW w:type="dxa" w:w="2016"/>
            <w:vAlign w:val="center"/>
          </w:tcPr>
          <w:p>
            <w:pPr>
              <w:spacing w:after="20"/>
            </w:pPr>
            <w:r/>
            <w:r>
              <w:rPr>
                <w:rFonts w:ascii="Aptos" w:hAnsi="Aptos"/>
                <w:b w:val="0"/>
                <w:color w:val="26352F"/>
                <w:sz w:val="17"/>
              </w:rPr>
              <w:t>Pale green-white</w:t>
            </w:r>
          </w:p>
        </w:tc>
        <w:tc>
          <w:tcPr>
            <w:tcW w:type="dxa" w:w="1728"/>
            <w:vAlign w:val="center"/>
          </w:tcPr>
          <w:p>
            <w:pPr>
              <w:spacing w:after="20"/>
            </w:pPr>
            <w:r/>
            <w:r>
              <w:rPr>
                <w:rFonts w:ascii="Aptos" w:hAnsi="Aptos"/>
                <w:b w:val="0"/>
                <w:color w:val="26352F"/>
                <w:sz w:val="17"/>
              </w:rPr>
              <w:t>#EFFAF1</w:t>
            </w:r>
          </w:p>
        </w:tc>
        <w:tc>
          <w:tcPr>
            <w:tcW w:type="dxa" w:w="6048"/>
            <w:vAlign w:val="center"/>
          </w:tcPr>
          <w:p>
            <w:pPr>
              <w:spacing w:after="20"/>
            </w:pPr>
            <w:r/>
            <w:r>
              <w:rPr>
                <w:rFonts w:ascii="Aptos" w:hAnsi="Aptos"/>
                <w:b w:val="0"/>
                <w:color w:val="26352F"/>
                <w:sz w:val="17"/>
              </w:rPr>
              <w:t>Secondary backgrounds and alternate content sections</w:t>
            </w:r>
          </w:p>
        </w:tc>
      </w:tr>
      <w:tr>
        <w:tc>
          <w:tcPr>
            <w:tcW w:type="dxa" w:w="2016"/>
            <w:vAlign w:val="center"/>
            <w:shd w:fill="F5F9F6"/>
          </w:tcPr>
          <w:p>
            <w:pPr>
              <w:spacing w:after="20"/>
            </w:pPr>
            <w:r/>
            <w:r>
              <w:rPr>
                <w:rFonts w:ascii="Aptos" w:hAnsi="Aptos"/>
                <w:b w:val="0"/>
                <w:color w:val="26352F"/>
                <w:sz w:val="17"/>
              </w:rPr>
              <w:t>Body text</w:t>
            </w:r>
          </w:p>
        </w:tc>
        <w:tc>
          <w:tcPr>
            <w:tcW w:type="dxa" w:w="1728"/>
            <w:vAlign w:val="center"/>
            <w:shd w:fill="F5F9F6"/>
          </w:tcPr>
          <w:p>
            <w:pPr>
              <w:spacing w:after="20"/>
            </w:pPr>
            <w:r/>
            <w:r>
              <w:rPr>
                <w:rFonts w:ascii="Aptos" w:hAnsi="Aptos"/>
                <w:b w:val="0"/>
                <w:color w:val="26352F"/>
                <w:sz w:val="17"/>
              </w:rPr>
              <w:t>#26352F</w:t>
            </w:r>
          </w:p>
        </w:tc>
        <w:tc>
          <w:tcPr>
            <w:tcW w:type="dxa" w:w="6048"/>
            <w:vAlign w:val="center"/>
            <w:shd w:fill="F5F9F6"/>
          </w:tcPr>
          <w:p>
            <w:pPr>
              <w:spacing w:after="20"/>
            </w:pPr>
            <w:r/>
            <w:r>
              <w:rPr>
                <w:rFonts w:ascii="Aptos" w:hAnsi="Aptos"/>
                <w:b w:val="0"/>
                <w:color w:val="26352F"/>
                <w:sz w:val="17"/>
              </w:rPr>
              <w:t>Paragraphs, labels and table text</w:t>
            </w:r>
          </w:p>
        </w:tc>
      </w:tr>
      <w:tr>
        <w:tc>
          <w:tcPr>
            <w:tcW w:type="dxa" w:w="2016"/>
            <w:vAlign w:val="center"/>
          </w:tcPr>
          <w:p>
            <w:pPr>
              <w:spacing w:after="20"/>
            </w:pPr>
            <w:r/>
            <w:r>
              <w:rPr>
                <w:rFonts w:ascii="Aptos" w:hAnsi="Aptos"/>
                <w:b w:val="0"/>
                <w:color w:val="26352F"/>
                <w:sz w:val="17"/>
              </w:rPr>
              <w:t>Muted text</w:t>
            </w:r>
          </w:p>
        </w:tc>
        <w:tc>
          <w:tcPr>
            <w:tcW w:type="dxa" w:w="1728"/>
            <w:vAlign w:val="center"/>
          </w:tcPr>
          <w:p>
            <w:pPr>
              <w:spacing w:after="20"/>
            </w:pPr>
            <w:r/>
            <w:r>
              <w:rPr>
                <w:rFonts w:ascii="Aptos" w:hAnsi="Aptos"/>
                <w:b w:val="0"/>
                <w:color w:val="26352F"/>
                <w:sz w:val="17"/>
              </w:rPr>
              <w:t>#63716A</w:t>
            </w:r>
          </w:p>
        </w:tc>
        <w:tc>
          <w:tcPr>
            <w:tcW w:type="dxa" w:w="6048"/>
            <w:vAlign w:val="center"/>
          </w:tcPr>
          <w:p>
            <w:pPr>
              <w:spacing w:after="20"/>
            </w:pPr>
            <w:r/>
            <w:r>
              <w:rPr>
                <w:rFonts w:ascii="Aptos" w:hAnsi="Aptos"/>
                <w:b w:val="0"/>
                <w:color w:val="26352F"/>
                <w:sz w:val="17"/>
              </w:rPr>
              <w:t>Helper text, captions, metadata and secondary labels</w:t>
            </w:r>
          </w:p>
        </w:tc>
      </w:tr>
      <w:tr>
        <w:tc>
          <w:tcPr>
            <w:tcW w:type="dxa" w:w="2016"/>
            <w:vAlign w:val="center"/>
            <w:shd w:fill="F5F9F6"/>
          </w:tcPr>
          <w:p>
            <w:pPr>
              <w:spacing w:after="20"/>
            </w:pPr>
            <w:r/>
            <w:r>
              <w:rPr>
                <w:rFonts w:ascii="Aptos" w:hAnsi="Aptos"/>
                <w:b w:val="0"/>
                <w:color w:val="26352F"/>
                <w:sz w:val="17"/>
              </w:rPr>
              <w:t>Soft border</w:t>
            </w:r>
          </w:p>
        </w:tc>
        <w:tc>
          <w:tcPr>
            <w:tcW w:type="dxa" w:w="1728"/>
            <w:vAlign w:val="center"/>
            <w:shd w:fill="F5F9F6"/>
          </w:tcPr>
          <w:p>
            <w:pPr>
              <w:spacing w:after="20"/>
            </w:pPr>
            <w:r/>
            <w:r>
              <w:rPr>
                <w:rFonts w:ascii="Aptos" w:hAnsi="Aptos"/>
                <w:b w:val="0"/>
                <w:color w:val="26352F"/>
                <w:sz w:val="17"/>
              </w:rPr>
              <w:t>#D5E5D9</w:t>
            </w:r>
          </w:p>
        </w:tc>
        <w:tc>
          <w:tcPr>
            <w:tcW w:type="dxa" w:w="6048"/>
            <w:vAlign w:val="center"/>
            <w:shd w:fill="F5F9F6"/>
          </w:tcPr>
          <w:p>
            <w:pPr>
              <w:spacing w:after="20"/>
            </w:pPr>
            <w:r/>
            <w:r>
              <w:rPr>
                <w:rFonts w:ascii="Aptos" w:hAnsi="Aptos"/>
                <w:b w:val="0"/>
                <w:color w:val="26352F"/>
                <w:sz w:val="17"/>
              </w:rPr>
              <w:t>Card edges, dividers, inputs and subtle outlines</w:t>
            </w:r>
          </w:p>
        </w:tc>
      </w:tr>
    </w:tbl>
    <w:p/>
    <w:p>
      <w:r>
        <w:t>Accessibility note: test text and button contrast in the actual UI. Do not use pale green text on pale green backgrounds for essential information. Green should not be the only way a status is communicated; include labels or icons as well.</w:t>
      </w:r>
    </w:p>
    <w:p>
      <w:pPr>
        <w:pStyle w:val="Heading1"/>
        <w:keepNext/>
      </w:pPr>
      <w:r>
        <w:t>4. Landing page structure</w:t>
      </w:r>
    </w:p>
    <w:tbl>
      <w:tblPr>
        <w:tblStyle w:val="TableGrid"/>
        <w:tblW w:type="auto" w:w="0"/>
        <w:jc w:val="center"/>
        <w:tblLook w:firstColumn="1" w:firstRow="1" w:lastColumn="0" w:lastRow="0" w:noHBand="0" w:noVBand="1" w:val="04A0"/>
      </w:tblPr>
      <w:tblGrid>
        <w:gridCol w:w="3312"/>
        <w:gridCol w:w="3312"/>
        <w:gridCol w:w="3312"/>
      </w:tblGrid>
      <w:tr>
        <w:tc>
          <w:tcPr>
            <w:tcW w:type="dxa" w:w="1728"/>
            <w:vAlign w:val="center"/>
            <w:shd w:fill="123D31"/>
          </w:tcPr>
          <w:p>
            <w:pPr>
              <w:spacing w:after="20"/>
            </w:pPr>
            <w:r/>
            <w:r>
              <w:rPr>
                <w:rFonts w:ascii="Aptos" w:hAnsi="Aptos"/>
                <w:b/>
                <w:color w:val="FFFFFF"/>
                <w:sz w:val="18"/>
              </w:rPr>
              <w:t>Section</w:t>
            </w:r>
          </w:p>
        </w:tc>
        <w:tc>
          <w:tcPr>
            <w:tcW w:type="dxa" w:w="4608"/>
            <w:vAlign w:val="center"/>
            <w:shd w:fill="123D31"/>
          </w:tcPr>
          <w:p>
            <w:pPr>
              <w:spacing w:after="20"/>
            </w:pPr>
            <w:r/>
            <w:r>
              <w:rPr>
                <w:rFonts w:ascii="Aptos" w:hAnsi="Aptos"/>
                <w:b/>
                <w:color w:val="FFFFFF"/>
                <w:sz w:val="18"/>
              </w:rPr>
              <w:t>Layout and visual treatment</w:t>
            </w:r>
          </w:p>
        </w:tc>
        <w:tc>
          <w:tcPr>
            <w:tcW w:type="dxa" w:w="3456"/>
            <w:vAlign w:val="center"/>
            <w:shd w:fill="123D31"/>
          </w:tcPr>
          <w:p>
            <w:pPr>
              <w:spacing w:after="20"/>
            </w:pPr>
            <w:r/>
            <w:r>
              <w:rPr>
                <w:rFonts w:ascii="Aptos" w:hAnsi="Aptos"/>
                <w:b/>
                <w:color w:val="FFFFFF"/>
                <w:sz w:val="18"/>
              </w:rPr>
              <w:t>Content goal</w:t>
            </w:r>
          </w:p>
        </w:tc>
      </w:tr>
      <w:tr>
        <w:tc>
          <w:tcPr>
            <w:tcW w:type="dxa" w:w="1728"/>
            <w:vAlign w:val="center"/>
          </w:tcPr>
          <w:p>
            <w:pPr>
              <w:spacing w:after="20"/>
            </w:pPr>
            <w:r/>
            <w:r>
              <w:rPr>
                <w:rFonts w:ascii="Aptos" w:hAnsi="Aptos"/>
                <w:b w:val="0"/>
                <w:color w:val="26352F"/>
                <w:sz w:val="17"/>
              </w:rPr>
              <w:t>Top navigation</w:t>
            </w:r>
          </w:p>
        </w:tc>
        <w:tc>
          <w:tcPr>
            <w:tcW w:type="dxa" w:w="4608"/>
            <w:vAlign w:val="center"/>
          </w:tcPr>
          <w:p>
            <w:pPr>
              <w:spacing w:after="20"/>
            </w:pPr>
            <w:r/>
            <w:r>
              <w:rPr>
                <w:rFonts w:ascii="Aptos" w:hAnsi="Aptos"/>
                <w:b w:val="0"/>
                <w:color w:val="26352F"/>
                <w:sz w:val="17"/>
              </w:rPr>
              <w:t>White or pale-mint header; logo on left; compact links; Client Login and Contact Sales actions on right.</w:t>
            </w:r>
          </w:p>
        </w:tc>
        <w:tc>
          <w:tcPr>
            <w:tcW w:type="dxa" w:w="3456"/>
            <w:vAlign w:val="center"/>
          </w:tcPr>
          <w:p>
            <w:pPr>
              <w:spacing w:after="20"/>
            </w:pPr>
            <w:r/>
            <w:r>
              <w:rPr>
                <w:rFonts w:ascii="Aptos" w:hAnsi="Aptos"/>
                <w:b w:val="0"/>
                <w:color w:val="26352F"/>
                <w:sz w:val="17"/>
              </w:rPr>
              <w:t>Make navigation clear without competing with the headline.</w:t>
            </w:r>
          </w:p>
        </w:tc>
      </w:tr>
      <w:tr>
        <w:tc>
          <w:tcPr>
            <w:tcW w:type="dxa" w:w="1728"/>
            <w:vAlign w:val="center"/>
            <w:shd w:fill="F5F9F6"/>
          </w:tcPr>
          <w:p>
            <w:pPr>
              <w:spacing w:after="20"/>
            </w:pPr>
            <w:r/>
            <w:r>
              <w:rPr>
                <w:rFonts w:ascii="Aptos" w:hAnsi="Aptos"/>
                <w:b w:val="0"/>
                <w:color w:val="26352F"/>
                <w:sz w:val="17"/>
              </w:rPr>
              <w:t>Hero</w:t>
            </w:r>
          </w:p>
        </w:tc>
        <w:tc>
          <w:tcPr>
            <w:tcW w:type="dxa" w:w="4608"/>
            <w:vAlign w:val="center"/>
            <w:shd w:fill="F5F9F6"/>
          </w:tcPr>
          <w:p>
            <w:pPr>
              <w:spacing w:after="20"/>
            </w:pPr>
            <w:r/>
            <w:r>
              <w:rPr>
                <w:rFonts w:ascii="Aptos" w:hAnsi="Aptos"/>
                <w:b w:val="0"/>
                <w:color w:val="26352F"/>
                <w:sz w:val="17"/>
              </w:rPr>
              <w:t>Two-column desktop layout: text on left, original dashboard preview on right; pale mint background with subtle geometry.</w:t>
            </w:r>
          </w:p>
        </w:tc>
        <w:tc>
          <w:tcPr>
            <w:tcW w:type="dxa" w:w="3456"/>
            <w:vAlign w:val="center"/>
            <w:shd w:fill="F5F9F6"/>
          </w:tcPr>
          <w:p>
            <w:pPr>
              <w:spacing w:after="20"/>
            </w:pPr>
            <w:r/>
            <w:r>
              <w:rPr>
                <w:rFonts w:ascii="Aptos" w:hAnsi="Aptos"/>
                <w:b w:val="0"/>
                <w:color w:val="26352F"/>
                <w:sz w:val="17"/>
              </w:rPr>
              <w:t>Explain the product in one glance and drive trial/demo actions.</w:t>
            </w:r>
          </w:p>
        </w:tc>
      </w:tr>
      <w:tr>
        <w:tc>
          <w:tcPr>
            <w:tcW w:type="dxa" w:w="1728"/>
            <w:vAlign w:val="center"/>
          </w:tcPr>
          <w:p>
            <w:pPr>
              <w:spacing w:after="20"/>
            </w:pPr>
            <w:r/>
            <w:r>
              <w:rPr>
                <w:rFonts w:ascii="Aptos" w:hAnsi="Aptos"/>
                <w:b w:val="0"/>
                <w:color w:val="26352F"/>
                <w:sz w:val="17"/>
              </w:rPr>
              <w:t>Trust strip</w:t>
            </w:r>
          </w:p>
        </w:tc>
        <w:tc>
          <w:tcPr>
            <w:tcW w:type="dxa" w:w="4608"/>
            <w:vAlign w:val="center"/>
          </w:tcPr>
          <w:p>
            <w:pPr>
              <w:spacing w:after="20"/>
            </w:pPr>
            <w:r/>
            <w:r>
              <w:rPr>
                <w:rFonts w:ascii="Aptos" w:hAnsi="Aptos"/>
                <w:b w:val="0"/>
                <w:color w:val="26352F"/>
                <w:sz w:val="17"/>
              </w:rPr>
              <w:t>Small row of concise benefits or trust statements.</w:t>
            </w:r>
          </w:p>
        </w:tc>
        <w:tc>
          <w:tcPr>
            <w:tcW w:type="dxa" w:w="3456"/>
            <w:vAlign w:val="center"/>
          </w:tcPr>
          <w:p>
            <w:pPr>
              <w:spacing w:after="20"/>
            </w:pPr>
            <w:r/>
            <w:r>
              <w:rPr>
                <w:rFonts w:ascii="Aptos" w:hAnsi="Aptos"/>
                <w:b w:val="0"/>
                <w:color w:val="26352F"/>
                <w:sz w:val="17"/>
              </w:rPr>
              <w:t>Communicate ease of use, secure access and clear records without unsupported claims.</w:t>
            </w:r>
          </w:p>
        </w:tc>
      </w:tr>
      <w:tr>
        <w:tc>
          <w:tcPr>
            <w:tcW w:type="dxa" w:w="1728"/>
            <w:vAlign w:val="center"/>
            <w:shd w:fill="F5F9F6"/>
          </w:tcPr>
          <w:p>
            <w:pPr>
              <w:spacing w:after="20"/>
            </w:pPr>
            <w:r/>
            <w:r>
              <w:rPr>
                <w:rFonts w:ascii="Aptos" w:hAnsi="Aptos"/>
                <w:b w:val="0"/>
                <w:color w:val="26352F"/>
                <w:sz w:val="17"/>
              </w:rPr>
              <w:t>Feature grid</w:t>
            </w:r>
          </w:p>
        </w:tc>
        <w:tc>
          <w:tcPr>
            <w:tcW w:type="dxa" w:w="4608"/>
            <w:vAlign w:val="center"/>
            <w:shd w:fill="F5F9F6"/>
          </w:tcPr>
          <w:p>
            <w:pPr>
              <w:spacing w:after="20"/>
            </w:pPr>
            <w:r/>
            <w:r>
              <w:rPr>
                <w:rFonts w:ascii="Aptos" w:hAnsi="Aptos"/>
                <w:b w:val="0"/>
                <w:color w:val="26352F"/>
                <w:sz w:val="17"/>
              </w:rPr>
              <w:t>Simple cards with small icons and short descriptions.</w:t>
            </w:r>
          </w:p>
        </w:tc>
        <w:tc>
          <w:tcPr>
            <w:tcW w:type="dxa" w:w="3456"/>
            <w:vAlign w:val="center"/>
            <w:shd w:fill="F5F9F6"/>
          </w:tcPr>
          <w:p>
            <w:pPr>
              <w:spacing w:after="20"/>
            </w:pPr>
            <w:r/>
            <w:r>
              <w:rPr>
                <w:rFonts w:ascii="Aptos" w:hAnsi="Aptos"/>
                <w:b w:val="0"/>
                <w:color w:val="26352F"/>
                <w:sz w:val="17"/>
              </w:rPr>
              <w:t>Show members, savings, loans, accounting, reports and notifications.</w:t>
            </w:r>
          </w:p>
        </w:tc>
      </w:tr>
      <w:tr>
        <w:tc>
          <w:tcPr>
            <w:tcW w:type="dxa" w:w="1728"/>
            <w:vAlign w:val="center"/>
          </w:tcPr>
          <w:p>
            <w:pPr>
              <w:spacing w:after="20"/>
            </w:pPr>
            <w:r/>
            <w:r>
              <w:rPr>
                <w:rFonts w:ascii="Aptos" w:hAnsi="Aptos"/>
                <w:b w:val="0"/>
                <w:color w:val="26352F"/>
                <w:sz w:val="17"/>
              </w:rPr>
              <w:t>Dashboard preview</w:t>
            </w:r>
          </w:p>
        </w:tc>
        <w:tc>
          <w:tcPr>
            <w:tcW w:type="dxa" w:w="4608"/>
            <w:vAlign w:val="center"/>
          </w:tcPr>
          <w:p>
            <w:pPr>
              <w:spacing w:after="20"/>
            </w:pPr>
            <w:r/>
            <w:r>
              <w:rPr>
                <w:rFonts w:ascii="Aptos" w:hAnsi="Aptos"/>
                <w:b w:val="0"/>
                <w:color w:val="26352F"/>
                <w:sz w:val="17"/>
              </w:rPr>
              <w:t>Large original product screenshot/mockup in a white card with soft shadow.</w:t>
            </w:r>
          </w:p>
        </w:tc>
        <w:tc>
          <w:tcPr>
            <w:tcW w:type="dxa" w:w="3456"/>
            <w:vAlign w:val="center"/>
          </w:tcPr>
          <w:p>
            <w:pPr>
              <w:spacing w:after="20"/>
            </w:pPr>
            <w:r/>
            <w:r>
              <w:rPr>
                <w:rFonts w:ascii="Aptos" w:hAnsi="Aptos"/>
                <w:b w:val="0"/>
                <w:color w:val="26352F"/>
                <w:sz w:val="17"/>
              </w:rPr>
              <w:t>Make the product tangible and credible.</w:t>
            </w:r>
          </w:p>
        </w:tc>
      </w:tr>
      <w:tr>
        <w:tc>
          <w:tcPr>
            <w:tcW w:type="dxa" w:w="1728"/>
            <w:vAlign w:val="center"/>
            <w:shd w:fill="F5F9F6"/>
          </w:tcPr>
          <w:p>
            <w:pPr>
              <w:spacing w:after="20"/>
            </w:pPr>
            <w:r/>
            <w:r>
              <w:rPr>
                <w:rFonts w:ascii="Aptos" w:hAnsi="Aptos"/>
                <w:b w:val="0"/>
                <w:color w:val="26352F"/>
                <w:sz w:val="17"/>
              </w:rPr>
              <w:t>How it works</w:t>
            </w:r>
          </w:p>
        </w:tc>
        <w:tc>
          <w:tcPr>
            <w:tcW w:type="dxa" w:w="4608"/>
            <w:vAlign w:val="center"/>
            <w:shd w:fill="F5F9F6"/>
          </w:tcPr>
          <w:p>
            <w:pPr>
              <w:spacing w:after="20"/>
            </w:pPr>
            <w:r/>
            <w:r>
              <w:rPr>
                <w:rFonts w:ascii="Aptos" w:hAnsi="Aptos"/>
                <w:b w:val="0"/>
                <w:color w:val="26352F"/>
                <w:sz w:val="17"/>
              </w:rPr>
              <w:t>Three or four short steps with numbered indicators.</w:t>
            </w:r>
          </w:p>
        </w:tc>
        <w:tc>
          <w:tcPr>
            <w:tcW w:type="dxa" w:w="3456"/>
            <w:vAlign w:val="center"/>
            <w:shd w:fill="F5F9F6"/>
          </w:tcPr>
          <w:p>
            <w:pPr>
              <w:spacing w:after="20"/>
            </w:pPr>
            <w:r/>
            <w:r>
              <w:rPr>
                <w:rFonts w:ascii="Aptos" w:hAnsi="Aptos"/>
                <w:b w:val="0"/>
                <w:color w:val="26352F"/>
                <w:sz w:val="17"/>
              </w:rPr>
              <w:t>Explain signup, SACCO setup, inviting members and day-to-day use.</w:t>
            </w:r>
          </w:p>
        </w:tc>
      </w:tr>
      <w:tr>
        <w:tc>
          <w:tcPr>
            <w:tcW w:type="dxa" w:w="1728"/>
            <w:vAlign w:val="center"/>
          </w:tcPr>
          <w:p>
            <w:pPr>
              <w:spacing w:after="20"/>
            </w:pPr>
            <w:r/>
            <w:r>
              <w:rPr>
                <w:rFonts w:ascii="Aptos" w:hAnsi="Aptos"/>
                <w:b w:val="0"/>
                <w:color w:val="26352F"/>
                <w:sz w:val="17"/>
              </w:rPr>
              <w:t>Pricing</w:t>
            </w:r>
          </w:p>
        </w:tc>
        <w:tc>
          <w:tcPr>
            <w:tcW w:type="dxa" w:w="4608"/>
            <w:vAlign w:val="center"/>
          </w:tcPr>
          <w:p>
            <w:pPr>
              <w:spacing w:after="20"/>
            </w:pPr>
            <w:r/>
            <w:r>
              <w:rPr>
                <w:rFonts w:ascii="Aptos" w:hAnsi="Aptos"/>
                <w:b w:val="0"/>
                <w:color w:val="26352F"/>
                <w:sz w:val="17"/>
              </w:rPr>
              <w:t>Consistent pricing cards with clear member limits, billing period and terms.</w:t>
            </w:r>
          </w:p>
        </w:tc>
        <w:tc>
          <w:tcPr>
            <w:tcW w:type="dxa" w:w="3456"/>
            <w:vAlign w:val="center"/>
          </w:tcPr>
          <w:p>
            <w:pPr>
              <w:spacing w:after="20"/>
            </w:pPr>
            <w:r/>
            <w:r>
              <w:rPr>
                <w:rFonts w:ascii="Aptos" w:hAnsi="Aptos"/>
                <w:b w:val="0"/>
                <w:color w:val="26352F"/>
                <w:sz w:val="17"/>
              </w:rPr>
              <w:t>Help SACCOs compare plans and start a trial or subscribe.</w:t>
            </w:r>
          </w:p>
        </w:tc>
      </w:tr>
      <w:tr>
        <w:tc>
          <w:tcPr>
            <w:tcW w:type="dxa" w:w="1728"/>
            <w:vAlign w:val="center"/>
            <w:shd w:fill="F5F9F6"/>
          </w:tcPr>
          <w:p>
            <w:pPr>
              <w:spacing w:after="20"/>
            </w:pPr>
            <w:r/>
            <w:r>
              <w:rPr>
                <w:rFonts w:ascii="Aptos" w:hAnsi="Aptos"/>
                <w:b w:val="0"/>
                <w:color w:val="26352F"/>
                <w:sz w:val="17"/>
              </w:rPr>
              <w:t>Security and privacy</w:t>
            </w:r>
          </w:p>
        </w:tc>
        <w:tc>
          <w:tcPr>
            <w:tcW w:type="dxa" w:w="4608"/>
            <w:vAlign w:val="center"/>
            <w:shd w:fill="F5F9F6"/>
          </w:tcPr>
          <w:p>
            <w:pPr>
              <w:spacing w:after="20"/>
            </w:pPr>
            <w:r/>
            <w:r>
              <w:rPr>
                <w:rFonts w:ascii="Aptos" w:hAnsi="Aptos"/>
                <w:b w:val="0"/>
                <w:color w:val="26352F"/>
                <w:sz w:val="17"/>
              </w:rPr>
              <w:t>Simple icon-and-text blocks; avoid claims not yet verified.</w:t>
            </w:r>
          </w:p>
        </w:tc>
        <w:tc>
          <w:tcPr>
            <w:tcW w:type="dxa" w:w="3456"/>
            <w:vAlign w:val="center"/>
            <w:shd w:fill="F5F9F6"/>
          </w:tcPr>
          <w:p>
            <w:pPr>
              <w:spacing w:after="20"/>
            </w:pPr>
            <w:r/>
            <w:r>
              <w:rPr>
                <w:rFonts w:ascii="Aptos" w:hAnsi="Aptos"/>
                <w:b w:val="0"/>
                <w:color w:val="26352F"/>
                <w:sz w:val="17"/>
              </w:rPr>
              <w:t>Explain access controls, audit trails, backups and privacy approach.</w:t>
            </w:r>
          </w:p>
        </w:tc>
      </w:tr>
      <w:tr>
        <w:tc>
          <w:tcPr>
            <w:tcW w:type="dxa" w:w="1728"/>
            <w:vAlign w:val="center"/>
          </w:tcPr>
          <w:p>
            <w:pPr>
              <w:spacing w:after="20"/>
            </w:pPr>
            <w:r/>
            <w:r>
              <w:rPr>
                <w:rFonts w:ascii="Aptos" w:hAnsi="Aptos"/>
                <w:b w:val="0"/>
                <w:color w:val="26352F"/>
                <w:sz w:val="17"/>
              </w:rPr>
              <w:t>FAQs</w:t>
            </w:r>
          </w:p>
        </w:tc>
        <w:tc>
          <w:tcPr>
            <w:tcW w:type="dxa" w:w="4608"/>
            <w:vAlign w:val="center"/>
          </w:tcPr>
          <w:p>
            <w:pPr>
              <w:spacing w:after="20"/>
            </w:pPr>
            <w:r/>
            <w:r>
              <w:rPr>
                <w:rFonts w:ascii="Aptos" w:hAnsi="Aptos"/>
                <w:b w:val="0"/>
                <w:color w:val="26352F"/>
                <w:sz w:val="17"/>
              </w:rPr>
              <w:t>Expandable questions with concise answers.</w:t>
            </w:r>
          </w:p>
        </w:tc>
        <w:tc>
          <w:tcPr>
            <w:tcW w:type="dxa" w:w="3456"/>
            <w:vAlign w:val="center"/>
          </w:tcPr>
          <w:p>
            <w:pPr>
              <w:spacing w:after="20"/>
            </w:pPr>
            <w:r/>
            <w:r>
              <w:rPr>
                <w:rFonts w:ascii="Aptos" w:hAnsi="Aptos"/>
                <w:b w:val="0"/>
                <w:color w:val="26352F"/>
                <w:sz w:val="17"/>
              </w:rPr>
              <w:t>Resolve common questions about trial, payments, members and support.</w:t>
            </w:r>
          </w:p>
        </w:tc>
      </w:tr>
      <w:tr>
        <w:tc>
          <w:tcPr>
            <w:tcW w:type="dxa" w:w="1728"/>
            <w:vAlign w:val="center"/>
            <w:shd w:fill="F5F9F6"/>
          </w:tcPr>
          <w:p>
            <w:pPr>
              <w:spacing w:after="20"/>
            </w:pPr>
            <w:r/>
            <w:r>
              <w:rPr>
                <w:rFonts w:ascii="Aptos" w:hAnsi="Aptos"/>
                <w:b w:val="0"/>
                <w:color w:val="26352F"/>
                <w:sz w:val="17"/>
              </w:rPr>
              <w:t>Footer</w:t>
            </w:r>
          </w:p>
        </w:tc>
        <w:tc>
          <w:tcPr>
            <w:tcW w:type="dxa" w:w="4608"/>
            <w:vAlign w:val="center"/>
            <w:shd w:fill="F5F9F6"/>
          </w:tcPr>
          <w:p>
            <w:pPr>
              <w:spacing w:after="20"/>
            </w:pPr>
            <w:r/>
            <w:r>
              <w:rPr>
                <w:rFonts w:ascii="Aptos" w:hAnsi="Aptos"/>
                <w:b w:val="0"/>
                <w:color w:val="26352F"/>
                <w:sz w:val="17"/>
              </w:rPr>
              <w:t>Clean dark-green or white footer with contact, legal pages and navigation.</w:t>
            </w:r>
          </w:p>
        </w:tc>
        <w:tc>
          <w:tcPr>
            <w:tcW w:type="dxa" w:w="3456"/>
            <w:vAlign w:val="center"/>
            <w:shd w:fill="F5F9F6"/>
          </w:tcPr>
          <w:p>
            <w:pPr>
              <w:spacing w:after="20"/>
            </w:pPr>
            <w:r/>
            <w:r>
              <w:rPr>
                <w:rFonts w:ascii="Aptos" w:hAnsi="Aptos"/>
                <w:b w:val="0"/>
                <w:color w:val="26352F"/>
                <w:sz w:val="17"/>
              </w:rPr>
              <w:t>Provide clear next steps and legal information.</w:t>
            </w:r>
          </w:p>
        </w:tc>
      </w:tr>
    </w:tbl>
    <w:p/>
    <w:p>
      <w:pPr>
        <w:pStyle w:val="Heading1"/>
        <w:keepNext/>
      </w:pPr>
      <w:r>
        <w:t>5. Hero copy direction</w:t>
      </w:r>
    </w:p>
    <w:tbl>
      <w:tblPr>
        <w:tblStyle w:val="TableGrid"/>
        <w:tblW w:type="auto" w:w="0"/>
        <w:tblLook w:firstColumn="1" w:firstRow="1" w:lastColumn="0" w:lastRow="0" w:noHBand="0" w:noVBand="1" w:val="04A0"/>
      </w:tblPr>
      <w:tblGrid>
        <w:gridCol w:w="9936"/>
      </w:tblGrid>
      <w:tr>
        <w:tc>
          <w:tcPr>
            <w:tcW w:type="dxa" w:w="9936"/>
            <w:shd w:fill="EFFAF1"/>
          </w:tcPr>
          <w:p>
            <w:pPr>
              <w:spacing w:after="60"/>
            </w:pPr>
            <w:r/>
            <w:r>
              <w:rPr>
                <w:b/>
                <w:color w:val="123D31"/>
                <w:sz w:val="20"/>
              </w:rPr>
              <w:t>Suggested headline</w:t>
              <w:br/>
            </w:r>
            <w:r>
              <w:rPr>
                <w:color w:val="26352F"/>
                <w:sz w:val="19"/>
              </w:rPr>
              <w:t>Simplifying SACCO management. Empowering every member.</w:t>
            </w:r>
          </w:p>
        </w:tc>
      </w:tr>
    </w:tbl>
    <w:p/>
    <w:p>
      <w:r>
        <w:t>Suggested supporting text:</w:t>
      </w:r>
    </w:p>
    <w:p>
      <w:pPr>
        <w:ind w:left="360" w:right="360"/>
      </w:pPr>
      <w:r>
        <w:rPr>
          <w:i/>
        </w:rPr>
        <w:t>Manage members, savings, loans and financial reports from one secure platform—accessible on phones, tablets and computers.</w:t>
      </w:r>
    </w:p>
    <w:p>
      <w:r>
        <w:t>Primary CTA: “Start Free Trial”</w:t>
      </w:r>
    </w:p>
    <w:p>
      <w:r>
        <w:t>Secondary CTA: “Explore Features” or “Book a Demo”</w:t>
      </w:r>
    </w:p>
    <w:p>
      <w:r>
        <w:t>Keep copy concise. Avoid unsupported promises such as guaranteed security, guaranteed compliance or uninterrupted uptime unless the organization can substantiate them.</w:t>
      </w:r>
    </w:p>
    <w:p>
      <w:pPr>
        <w:pStyle w:val="Heading1"/>
        <w:keepNext/>
      </w:pPr>
      <w:r>
        <w:t>6. Dashboard preview and product UI</w:t>
      </w:r>
    </w:p>
    <w:p>
      <w:r>
        <w:t>The hero dashboard mockup should look like a believable product interface, not a decorative chart. Use fictional demonstration data only.</w:t>
      </w:r>
    </w:p>
    <w:p>
      <w:pPr>
        <w:pStyle w:val="ListBullet"/>
        <w:spacing w:after="40"/>
      </w:pPr>
      <w:r>
        <w:t>Summary cards: Total Savings, Active Loans, Members and Repayments Due.</w:t>
      </w:r>
    </w:p>
    <w:p>
      <w:pPr>
        <w:pStyle w:val="ListBullet"/>
        <w:spacing w:after="40"/>
      </w:pPr>
      <w:r>
        <w:t>Recent transactions table: date, member/reference, transaction type, status and amount.</w:t>
      </w:r>
    </w:p>
    <w:p>
      <w:pPr>
        <w:pStyle w:val="ListBullet"/>
        <w:spacing w:after="40"/>
      </w:pPr>
      <w:r>
        <w:t>Small charts only where they help explain trends; avoid visual clutter.</w:t>
      </w:r>
    </w:p>
    <w:p>
      <w:pPr>
        <w:pStyle w:val="ListBullet"/>
        <w:spacing w:after="40"/>
      </w:pPr>
      <w:r>
        <w:t>A clear page title, search field, notification bell and profile menu.</w:t>
      </w:r>
    </w:p>
    <w:p>
      <w:pPr>
        <w:pStyle w:val="ListBullet"/>
        <w:spacing w:after="40"/>
      </w:pPr>
      <w:r>
        <w:t>Subtle status chips with text labels such as Posted, Pending, Approved or Overdue.</w:t>
      </w:r>
    </w:p>
    <w:p>
      <w:pPr>
        <w:pStyle w:val="ListBullet"/>
        <w:spacing w:after="40"/>
      </w:pPr>
      <w:r>
        <w:t>No real member names, balances, account numbers or personal information in public marketing screenshots.</w:t>
      </w:r>
    </w:p>
    <w:p>
      <w:pPr>
        <w:pStyle w:val="Heading1"/>
        <w:keepNext/>
      </w:pPr>
      <w:r>
        <w:t>7. Responsive behavior</w:t>
      </w:r>
    </w:p>
    <w:tbl>
      <w:tblPr>
        <w:tblStyle w:val="TableGrid"/>
        <w:tblW w:type="auto" w:w="0"/>
        <w:jc w:val="center"/>
        <w:tblLook w:firstColumn="1" w:firstRow="1" w:lastColumn="0" w:lastRow="0" w:noHBand="0" w:noVBand="1" w:val="04A0"/>
      </w:tblPr>
      <w:tblGrid>
        <w:gridCol w:w="3312"/>
        <w:gridCol w:w="3312"/>
        <w:gridCol w:w="3312"/>
      </w:tblGrid>
      <w:tr>
        <w:tc>
          <w:tcPr>
            <w:tcW w:type="dxa" w:w="1728"/>
            <w:vAlign w:val="center"/>
            <w:shd w:fill="123D31"/>
          </w:tcPr>
          <w:p>
            <w:pPr>
              <w:spacing w:after="20"/>
            </w:pPr>
            <w:r/>
            <w:r>
              <w:rPr>
                <w:rFonts w:ascii="Aptos" w:hAnsi="Aptos"/>
                <w:b/>
                <w:color w:val="FFFFFF"/>
                <w:sz w:val="18"/>
              </w:rPr>
              <w:t>Device</w:t>
            </w:r>
          </w:p>
        </w:tc>
        <w:tc>
          <w:tcPr>
            <w:tcW w:type="dxa" w:w="4464"/>
            <w:vAlign w:val="center"/>
            <w:shd w:fill="123D31"/>
          </w:tcPr>
          <w:p>
            <w:pPr>
              <w:spacing w:after="20"/>
            </w:pPr>
            <w:r/>
            <w:r>
              <w:rPr>
                <w:rFonts w:ascii="Aptos" w:hAnsi="Aptos"/>
                <w:b/>
                <w:color w:val="FFFFFF"/>
                <w:sz w:val="18"/>
              </w:rPr>
              <w:t>Layout behavior</w:t>
            </w:r>
          </w:p>
        </w:tc>
        <w:tc>
          <w:tcPr>
            <w:tcW w:type="dxa" w:w="3600"/>
            <w:vAlign w:val="center"/>
            <w:shd w:fill="123D31"/>
          </w:tcPr>
          <w:p>
            <w:pPr>
              <w:spacing w:after="20"/>
            </w:pPr>
            <w:r/>
            <w:r>
              <w:rPr>
                <w:rFonts w:ascii="Aptos" w:hAnsi="Aptos"/>
                <w:b/>
                <w:color w:val="FFFFFF"/>
                <w:sz w:val="18"/>
              </w:rPr>
              <w:t>Navigation and interaction</w:t>
            </w:r>
          </w:p>
        </w:tc>
      </w:tr>
      <w:tr>
        <w:tc>
          <w:tcPr>
            <w:tcW w:type="dxa" w:w="1728"/>
            <w:vAlign w:val="center"/>
          </w:tcPr>
          <w:p>
            <w:pPr>
              <w:spacing w:after="20"/>
            </w:pPr>
            <w:r/>
            <w:r>
              <w:rPr>
                <w:rFonts w:ascii="Aptos" w:hAnsi="Aptos"/>
                <w:b w:val="0"/>
                <w:color w:val="26352F"/>
                <w:sz w:val="17"/>
              </w:rPr>
              <w:t>Phones</w:t>
            </w:r>
          </w:p>
        </w:tc>
        <w:tc>
          <w:tcPr>
            <w:tcW w:type="dxa" w:w="4464"/>
            <w:vAlign w:val="center"/>
          </w:tcPr>
          <w:p>
            <w:pPr>
              <w:spacing w:after="20"/>
            </w:pPr>
            <w:r/>
            <w:r>
              <w:rPr>
                <w:rFonts w:ascii="Aptos" w:hAnsi="Aptos"/>
                <w:b w:val="0"/>
                <w:color w:val="26352F"/>
                <w:sz w:val="17"/>
              </w:rPr>
              <w:t>Single-column content; stack hero text and dashboard preview; full-width CTAs where helpful.</w:t>
            </w:r>
          </w:p>
        </w:tc>
        <w:tc>
          <w:tcPr>
            <w:tcW w:type="dxa" w:w="3600"/>
            <w:vAlign w:val="center"/>
          </w:tcPr>
          <w:p>
            <w:pPr>
              <w:spacing w:after="20"/>
            </w:pPr>
            <w:r/>
            <w:r>
              <w:rPr>
                <w:rFonts w:ascii="Aptos" w:hAnsi="Aptos"/>
                <w:b w:val="0"/>
                <w:color w:val="26352F"/>
                <w:sz w:val="17"/>
              </w:rPr>
              <w:t>Compact menu, large touch targets, forms split into manageable steps, no tiny tables.</w:t>
            </w:r>
          </w:p>
        </w:tc>
      </w:tr>
      <w:tr>
        <w:tc>
          <w:tcPr>
            <w:tcW w:type="dxa" w:w="1728"/>
            <w:vAlign w:val="center"/>
            <w:shd w:fill="F5F9F6"/>
          </w:tcPr>
          <w:p>
            <w:pPr>
              <w:spacing w:after="20"/>
            </w:pPr>
            <w:r/>
            <w:r>
              <w:rPr>
                <w:rFonts w:ascii="Aptos" w:hAnsi="Aptos"/>
                <w:b w:val="0"/>
                <w:color w:val="26352F"/>
                <w:sz w:val="17"/>
              </w:rPr>
              <w:t>iPads and tablets</w:t>
            </w:r>
          </w:p>
        </w:tc>
        <w:tc>
          <w:tcPr>
            <w:tcW w:type="dxa" w:w="4464"/>
            <w:vAlign w:val="center"/>
            <w:shd w:fill="F5F9F6"/>
          </w:tcPr>
          <w:p>
            <w:pPr>
              <w:spacing w:after="20"/>
            </w:pPr>
            <w:r/>
            <w:r>
              <w:rPr>
                <w:rFonts w:ascii="Aptos" w:hAnsi="Aptos"/>
                <w:b w:val="0"/>
                <w:color w:val="26352F"/>
                <w:sz w:val="17"/>
              </w:rPr>
              <w:t>Flexible two-column layouts when space permits; cards may shift from two to three columns.</w:t>
            </w:r>
          </w:p>
        </w:tc>
        <w:tc>
          <w:tcPr>
            <w:tcW w:type="dxa" w:w="3600"/>
            <w:vAlign w:val="center"/>
            <w:shd w:fill="F5F9F6"/>
          </w:tcPr>
          <w:p>
            <w:pPr>
              <w:spacing w:after="20"/>
            </w:pPr>
            <w:r/>
            <w:r>
              <w:rPr>
                <w:rFonts w:ascii="Aptos" w:hAnsi="Aptos"/>
                <w:b w:val="0"/>
                <w:color w:val="26352F"/>
                <w:sz w:val="17"/>
              </w:rPr>
              <w:t>Touch-friendly controls; menus should work with touch and keyboard.</w:t>
            </w:r>
          </w:p>
        </w:tc>
      </w:tr>
      <w:tr>
        <w:tc>
          <w:tcPr>
            <w:tcW w:type="dxa" w:w="1728"/>
            <w:vAlign w:val="center"/>
          </w:tcPr>
          <w:p>
            <w:pPr>
              <w:spacing w:after="20"/>
            </w:pPr>
            <w:r/>
            <w:r>
              <w:rPr>
                <w:rFonts w:ascii="Aptos" w:hAnsi="Aptos"/>
                <w:b w:val="0"/>
                <w:color w:val="26352F"/>
                <w:sz w:val="17"/>
              </w:rPr>
              <w:t>PCs and laptops</w:t>
            </w:r>
          </w:p>
        </w:tc>
        <w:tc>
          <w:tcPr>
            <w:tcW w:type="dxa" w:w="4464"/>
            <w:vAlign w:val="center"/>
          </w:tcPr>
          <w:p>
            <w:pPr>
              <w:spacing w:after="20"/>
            </w:pPr>
            <w:r/>
            <w:r>
              <w:rPr>
                <w:rFonts w:ascii="Aptos" w:hAnsi="Aptos"/>
                <w:b w:val="0"/>
                <w:color w:val="26352F"/>
                <w:sz w:val="17"/>
              </w:rPr>
              <w:t>Wide hero split, dashboard preview beside copy, multi-column feature and pricing sections.</w:t>
            </w:r>
          </w:p>
        </w:tc>
        <w:tc>
          <w:tcPr>
            <w:tcW w:type="dxa" w:w="3600"/>
            <w:vAlign w:val="center"/>
          </w:tcPr>
          <w:p>
            <w:pPr>
              <w:spacing w:after="20"/>
            </w:pPr>
            <w:r/>
            <w:r>
              <w:rPr>
                <w:rFonts w:ascii="Aptos" w:hAnsi="Aptos"/>
                <w:b w:val="0"/>
                <w:color w:val="26352F"/>
                <w:sz w:val="17"/>
              </w:rPr>
              <w:t>Full navigation, comfortable content width and keyboard-accessible controls.</w:t>
            </w:r>
          </w:p>
        </w:tc>
      </w:tr>
      <w:tr>
        <w:tc>
          <w:tcPr>
            <w:tcW w:type="dxa" w:w="1728"/>
            <w:vAlign w:val="center"/>
            <w:shd w:fill="F5F9F6"/>
          </w:tcPr>
          <w:p>
            <w:pPr>
              <w:spacing w:after="20"/>
            </w:pPr>
            <w:r/>
            <w:r>
              <w:rPr>
                <w:rFonts w:ascii="Aptos" w:hAnsi="Aptos"/>
                <w:b w:val="0"/>
                <w:color w:val="26352F"/>
                <w:sz w:val="17"/>
              </w:rPr>
              <w:t>Small screens / low bandwidth</w:t>
            </w:r>
          </w:p>
        </w:tc>
        <w:tc>
          <w:tcPr>
            <w:tcW w:type="dxa" w:w="4464"/>
            <w:vAlign w:val="center"/>
            <w:shd w:fill="F5F9F6"/>
          </w:tcPr>
          <w:p>
            <w:pPr>
              <w:spacing w:after="20"/>
            </w:pPr>
            <w:r/>
            <w:r>
              <w:rPr>
                <w:rFonts w:ascii="Aptos" w:hAnsi="Aptos"/>
                <w:b w:val="0"/>
                <w:color w:val="26352F"/>
                <w:sz w:val="17"/>
              </w:rPr>
              <w:t>Avoid heavy animation and oversized image files; show essential information first.</w:t>
            </w:r>
          </w:p>
        </w:tc>
        <w:tc>
          <w:tcPr>
            <w:tcW w:type="dxa" w:w="3600"/>
            <w:vAlign w:val="center"/>
            <w:shd w:fill="F5F9F6"/>
          </w:tcPr>
          <w:p>
            <w:pPr>
              <w:spacing w:after="20"/>
            </w:pPr>
            <w:r/>
            <w:r>
              <w:rPr>
                <w:rFonts w:ascii="Aptos" w:hAnsi="Aptos"/>
                <w:b w:val="0"/>
                <w:color w:val="26352F"/>
                <w:sz w:val="17"/>
              </w:rPr>
              <w:t>Graceful loading, useful error states and clear retry actions.</w:t>
            </w:r>
          </w:p>
        </w:tc>
      </w:tr>
    </w:tbl>
    <w:p/>
    <w:p>
      <w:pPr>
        <w:pStyle w:val="Heading1"/>
        <w:keepNext/>
      </w:pPr>
      <w:r>
        <w:t>8. Component style guide</w:t>
      </w:r>
    </w:p>
    <w:tbl>
      <w:tblPr>
        <w:tblStyle w:val="TableGrid"/>
        <w:tblW w:type="auto" w:w="0"/>
        <w:jc w:val="center"/>
        <w:tblLook w:firstColumn="1" w:firstRow="1" w:lastColumn="0" w:lastRow="0" w:noHBand="0" w:noVBand="1" w:val="04A0"/>
      </w:tblPr>
      <w:tblGrid>
        <w:gridCol w:w="4968"/>
        <w:gridCol w:w="4968"/>
      </w:tblGrid>
      <w:tr>
        <w:tc>
          <w:tcPr>
            <w:tcW w:type="dxa" w:w="2016"/>
            <w:vAlign w:val="center"/>
            <w:shd w:fill="123D31"/>
          </w:tcPr>
          <w:p>
            <w:pPr>
              <w:spacing w:after="20"/>
            </w:pPr>
            <w:r/>
            <w:r>
              <w:rPr>
                <w:rFonts w:ascii="Aptos" w:hAnsi="Aptos"/>
                <w:b/>
                <w:color w:val="FFFFFF"/>
                <w:sz w:val="18"/>
              </w:rPr>
              <w:t>Component</w:t>
            </w:r>
          </w:p>
        </w:tc>
        <w:tc>
          <w:tcPr>
            <w:tcW w:type="dxa" w:w="7776"/>
            <w:vAlign w:val="center"/>
            <w:shd w:fill="123D31"/>
          </w:tcPr>
          <w:p>
            <w:pPr>
              <w:spacing w:after="20"/>
            </w:pPr>
            <w:r/>
            <w:r>
              <w:rPr>
                <w:rFonts w:ascii="Aptos" w:hAnsi="Aptos"/>
                <w:b/>
                <w:color w:val="FFFFFF"/>
                <w:sz w:val="18"/>
              </w:rPr>
              <w:t>Style specification</w:t>
            </w:r>
          </w:p>
        </w:tc>
      </w:tr>
      <w:tr>
        <w:tc>
          <w:tcPr>
            <w:tcW w:type="dxa" w:w="2016"/>
            <w:vAlign w:val="center"/>
          </w:tcPr>
          <w:p>
            <w:pPr>
              <w:spacing w:after="20"/>
            </w:pPr>
            <w:r/>
            <w:r>
              <w:rPr>
                <w:rFonts w:ascii="Aptos" w:hAnsi="Aptos"/>
                <w:b w:val="0"/>
                <w:color w:val="26352F"/>
                <w:sz w:val="17"/>
              </w:rPr>
              <w:t>Buttons</w:t>
            </w:r>
          </w:p>
        </w:tc>
        <w:tc>
          <w:tcPr>
            <w:tcW w:type="dxa" w:w="7776"/>
            <w:vAlign w:val="center"/>
          </w:tcPr>
          <w:p>
            <w:pPr>
              <w:spacing w:after="20"/>
            </w:pPr>
            <w:r/>
            <w:r>
              <w:rPr>
                <w:rFonts w:ascii="Aptos" w:hAnsi="Aptos"/>
                <w:b w:val="0"/>
                <w:color w:val="26352F"/>
                <w:sz w:val="17"/>
              </w:rPr>
              <w:t>Rounded corners; action green for primary; dark forest green or white for secondary; clear verbs.</w:t>
            </w:r>
          </w:p>
        </w:tc>
      </w:tr>
      <w:tr>
        <w:tc>
          <w:tcPr>
            <w:tcW w:type="dxa" w:w="2016"/>
            <w:vAlign w:val="center"/>
            <w:shd w:fill="F5F9F6"/>
          </w:tcPr>
          <w:p>
            <w:pPr>
              <w:spacing w:after="20"/>
            </w:pPr>
            <w:r/>
            <w:r>
              <w:rPr>
                <w:rFonts w:ascii="Aptos" w:hAnsi="Aptos"/>
                <w:b w:val="0"/>
                <w:color w:val="26352F"/>
                <w:sz w:val="17"/>
              </w:rPr>
              <w:t>Cards</w:t>
            </w:r>
          </w:p>
        </w:tc>
        <w:tc>
          <w:tcPr>
            <w:tcW w:type="dxa" w:w="7776"/>
            <w:vAlign w:val="center"/>
            <w:shd w:fill="F5F9F6"/>
          </w:tcPr>
          <w:p>
            <w:pPr>
              <w:spacing w:after="20"/>
            </w:pPr>
            <w:r/>
            <w:r>
              <w:rPr>
                <w:rFonts w:ascii="Aptos" w:hAnsi="Aptos"/>
                <w:b w:val="0"/>
                <w:color w:val="26352F"/>
                <w:sz w:val="17"/>
              </w:rPr>
              <w:t>White background, soft green-gray border, restrained shadow and consistent padding.</w:t>
            </w:r>
          </w:p>
        </w:tc>
      </w:tr>
      <w:tr>
        <w:tc>
          <w:tcPr>
            <w:tcW w:type="dxa" w:w="2016"/>
            <w:vAlign w:val="center"/>
          </w:tcPr>
          <w:p>
            <w:pPr>
              <w:spacing w:after="20"/>
            </w:pPr>
            <w:r/>
            <w:r>
              <w:rPr>
                <w:rFonts w:ascii="Aptos" w:hAnsi="Aptos"/>
                <w:b w:val="0"/>
                <w:color w:val="26352F"/>
                <w:sz w:val="17"/>
              </w:rPr>
              <w:t>Forms</w:t>
            </w:r>
          </w:p>
        </w:tc>
        <w:tc>
          <w:tcPr>
            <w:tcW w:type="dxa" w:w="7776"/>
            <w:vAlign w:val="center"/>
          </w:tcPr>
          <w:p>
            <w:pPr>
              <w:spacing w:after="20"/>
            </w:pPr>
            <w:r/>
            <w:r>
              <w:rPr>
                <w:rFonts w:ascii="Aptos" w:hAnsi="Aptos"/>
                <w:b w:val="0"/>
                <w:color w:val="26352F"/>
                <w:sz w:val="17"/>
              </w:rPr>
              <w:t>Labels above fields, clear required-field markers, visible validation messages and accessible focus states.</w:t>
            </w:r>
          </w:p>
        </w:tc>
      </w:tr>
      <w:tr>
        <w:tc>
          <w:tcPr>
            <w:tcW w:type="dxa" w:w="2016"/>
            <w:vAlign w:val="center"/>
            <w:shd w:fill="F5F9F6"/>
          </w:tcPr>
          <w:p>
            <w:pPr>
              <w:spacing w:after="20"/>
            </w:pPr>
            <w:r/>
            <w:r>
              <w:rPr>
                <w:rFonts w:ascii="Aptos" w:hAnsi="Aptos"/>
                <w:b w:val="0"/>
                <w:color w:val="26352F"/>
                <w:sz w:val="17"/>
              </w:rPr>
              <w:t>Navigation</w:t>
            </w:r>
          </w:p>
        </w:tc>
        <w:tc>
          <w:tcPr>
            <w:tcW w:type="dxa" w:w="7776"/>
            <w:vAlign w:val="center"/>
            <w:shd w:fill="F5F9F6"/>
          </w:tcPr>
          <w:p>
            <w:pPr>
              <w:spacing w:after="20"/>
            </w:pPr>
            <w:r/>
            <w:r>
              <w:rPr>
                <w:rFonts w:ascii="Aptos" w:hAnsi="Aptos"/>
                <w:b w:val="0"/>
                <w:color w:val="26352F"/>
                <w:sz w:val="17"/>
              </w:rPr>
              <w:t>Short labels, consistent spacing and obvious active state.</w:t>
            </w:r>
          </w:p>
        </w:tc>
      </w:tr>
      <w:tr>
        <w:tc>
          <w:tcPr>
            <w:tcW w:type="dxa" w:w="2016"/>
            <w:vAlign w:val="center"/>
          </w:tcPr>
          <w:p>
            <w:pPr>
              <w:spacing w:after="20"/>
            </w:pPr>
            <w:r/>
            <w:r>
              <w:rPr>
                <w:rFonts w:ascii="Aptos" w:hAnsi="Aptos"/>
                <w:b w:val="0"/>
                <w:color w:val="26352F"/>
                <w:sz w:val="17"/>
              </w:rPr>
              <w:t>Tables</w:t>
            </w:r>
          </w:p>
        </w:tc>
        <w:tc>
          <w:tcPr>
            <w:tcW w:type="dxa" w:w="7776"/>
            <w:vAlign w:val="center"/>
          </w:tcPr>
          <w:p>
            <w:pPr>
              <w:spacing w:after="20"/>
            </w:pPr>
            <w:r/>
            <w:r>
              <w:rPr>
                <w:rFonts w:ascii="Aptos" w:hAnsi="Aptos"/>
                <w:b w:val="0"/>
                <w:color w:val="26352F"/>
                <w:sz w:val="17"/>
              </w:rPr>
              <w:t>Readable headers, subtle row dividers, responsive overflow or mobile card layout.</w:t>
            </w:r>
          </w:p>
        </w:tc>
      </w:tr>
      <w:tr>
        <w:tc>
          <w:tcPr>
            <w:tcW w:type="dxa" w:w="2016"/>
            <w:vAlign w:val="center"/>
            <w:shd w:fill="F5F9F6"/>
          </w:tcPr>
          <w:p>
            <w:pPr>
              <w:spacing w:after="20"/>
            </w:pPr>
            <w:r/>
            <w:r>
              <w:rPr>
                <w:rFonts w:ascii="Aptos" w:hAnsi="Aptos"/>
                <w:b w:val="0"/>
                <w:color w:val="26352F"/>
                <w:sz w:val="17"/>
              </w:rPr>
              <w:t>Icons</w:t>
            </w:r>
          </w:p>
        </w:tc>
        <w:tc>
          <w:tcPr>
            <w:tcW w:type="dxa" w:w="7776"/>
            <w:vAlign w:val="center"/>
            <w:shd w:fill="F5F9F6"/>
          </w:tcPr>
          <w:p>
            <w:pPr>
              <w:spacing w:after="20"/>
            </w:pPr>
            <w:r/>
            <w:r>
              <w:rPr>
                <w:rFonts w:ascii="Aptos" w:hAnsi="Aptos"/>
                <w:b w:val="0"/>
                <w:color w:val="26352F"/>
                <w:sz w:val="17"/>
              </w:rPr>
              <w:t>Use one consistent icon family and stroke weight; pair important icons with text labels.</w:t>
            </w:r>
          </w:p>
        </w:tc>
      </w:tr>
      <w:tr>
        <w:tc>
          <w:tcPr>
            <w:tcW w:type="dxa" w:w="2016"/>
            <w:vAlign w:val="center"/>
          </w:tcPr>
          <w:p>
            <w:pPr>
              <w:spacing w:after="20"/>
            </w:pPr>
            <w:r/>
            <w:r>
              <w:rPr>
                <w:rFonts w:ascii="Aptos" w:hAnsi="Aptos"/>
                <w:b w:val="0"/>
                <w:color w:val="26352F"/>
                <w:sz w:val="17"/>
              </w:rPr>
              <w:t>Typography</w:t>
            </w:r>
          </w:p>
        </w:tc>
        <w:tc>
          <w:tcPr>
            <w:tcW w:type="dxa" w:w="7776"/>
            <w:vAlign w:val="center"/>
          </w:tcPr>
          <w:p>
            <w:pPr>
              <w:spacing w:after="20"/>
            </w:pPr>
            <w:r/>
            <w:r>
              <w:rPr>
                <w:rFonts w:ascii="Aptos" w:hAnsi="Aptos"/>
                <w:b w:val="0"/>
                <w:color w:val="26352F"/>
                <w:sz w:val="17"/>
              </w:rPr>
              <w:t>Use a modern sans-serif such as Aptos, Inter or a similar accessible web font; establish consistent heading hierarchy.</w:t>
            </w:r>
          </w:p>
        </w:tc>
      </w:tr>
      <w:tr>
        <w:tc>
          <w:tcPr>
            <w:tcW w:type="dxa" w:w="2016"/>
            <w:vAlign w:val="center"/>
            <w:shd w:fill="F5F9F6"/>
          </w:tcPr>
          <w:p>
            <w:pPr>
              <w:spacing w:after="20"/>
            </w:pPr>
            <w:r/>
            <w:r>
              <w:rPr>
                <w:rFonts w:ascii="Aptos" w:hAnsi="Aptos"/>
                <w:b w:val="0"/>
                <w:color w:val="26352F"/>
                <w:sz w:val="17"/>
              </w:rPr>
              <w:t>Notifications</w:t>
            </w:r>
          </w:p>
        </w:tc>
        <w:tc>
          <w:tcPr>
            <w:tcW w:type="dxa" w:w="7776"/>
            <w:vAlign w:val="center"/>
            <w:shd w:fill="F5F9F6"/>
          </w:tcPr>
          <w:p>
            <w:pPr>
              <w:spacing w:after="20"/>
            </w:pPr>
            <w:r/>
            <w:r>
              <w:rPr>
                <w:rFonts w:ascii="Aptos" w:hAnsi="Aptos"/>
                <w:b w:val="0"/>
                <w:color w:val="26352F"/>
                <w:sz w:val="17"/>
              </w:rPr>
              <w:t>Bell icon with unread count; member inbox with timestamp, category and read/unread state.</w:t>
            </w:r>
          </w:p>
        </w:tc>
      </w:tr>
      <w:tr>
        <w:tc>
          <w:tcPr>
            <w:tcW w:type="dxa" w:w="2016"/>
            <w:vAlign w:val="center"/>
          </w:tcPr>
          <w:p>
            <w:pPr>
              <w:spacing w:after="20"/>
            </w:pPr>
            <w:r/>
            <w:r>
              <w:rPr>
                <w:rFonts w:ascii="Aptos" w:hAnsi="Aptos"/>
                <w:b w:val="0"/>
                <w:color w:val="26352F"/>
                <w:sz w:val="17"/>
              </w:rPr>
              <w:t>Motion</w:t>
            </w:r>
          </w:p>
        </w:tc>
        <w:tc>
          <w:tcPr>
            <w:tcW w:type="dxa" w:w="7776"/>
            <w:vAlign w:val="center"/>
          </w:tcPr>
          <w:p>
            <w:pPr>
              <w:spacing w:after="20"/>
            </w:pPr>
            <w:r/>
            <w:r>
              <w:rPr>
                <w:rFonts w:ascii="Aptos" w:hAnsi="Aptos"/>
                <w:b w:val="0"/>
                <w:color w:val="26352F"/>
                <w:sz w:val="17"/>
              </w:rPr>
              <w:t>Use subtle transitions only; respect reduced-motion preferences and avoid animation that blocks tasks.</w:t>
            </w:r>
          </w:p>
        </w:tc>
      </w:tr>
    </w:tbl>
    <w:p/>
    <w:p>
      <w:pPr>
        <w:pStyle w:val="Heading1"/>
        <w:keepNext/>
      </w:pPr>
      <w:r>
        <w:t>9. Pricing page design</w:t>
      </w:r>
    </w:p>
    <w:p>
      <w:r>
        <w:t>Present trial, weekly, monthly, yearly and lifetime/founder options without making the pricing cards confusing.</w:t>
      </w:r>
    </w:p>
    <w:p>
      <w:pPr>
        <w:pStyle w:val="ListBullet"/>
        <w:spacing w:after="40"/>
      </w:pPr>
      <w:r>
        <w:t>Make the plan name, member limit, billing period and price easy to scan.</w:t>
      </w:r>
    </w:p>
    <w:p>
      <w:pPr>
        <w:pStyle w:val="ListBullet"/>
        <w:spacing w:after="40"/>
      </w:pPr>
      <w:r>
        <w:t>Use the same feature order across tiers so comparisons are fair.</w:t>
      </w:r>
    </w:p>
    <w:p>
      <w:pPr>
        <w:pStyle w:val="ListBullet"/>
        <w:spacing w:after="40"/>
      </w:pPr>
      <w:r>
        <w:t>Clearly mark the trial duration and whether a payment method is required.</w:t>
      </w:r>
    </w:p>
    <w:p>
      <w:pPr>
        <w:pStyle w:val="ListBullet"/>
        <w:spacing w:after="40"/>
      </w:pPr>
      <w:r>
        <w:t>Show renewal, cancellation, tax and third-party messaging/payment costs before checkout.</w:t>
      </w:r>
    </w:p>
    <w:p>
      <w:pPr>
        <w:pStyle w:val="ListBullet"/>
        <w:spacing w:after="40"/>
      </w:pPr>
      <w:r>
        <w:t>Treat lifetime as a capped founder offer with explicit limits and support terms, not as unlimited service forever.</w:t>
      </w:r>
    </w:p>
    <w:p>
      <w:pPr>
        <w:pStyle w:val="ListBullet"/>
        <w:spacing w:after="40"/>
      </w:pPr>
      <w:r>
        <w:t>Use one strong CTA per plan, such as “Start Trial” or “Choose Plan.”</w:t>
      </w:r>
    </w:p>
    <w:p>
      <w:pPr>
        <w:pStyle w:val="Heading1"/>
        <w:keepNext/>
      </w:pPr>
      <w:r>
        <w:t>10. Signup and checkout screens</w:t>
      </w:r>
    </w:p>
    <w:tbl>
      <w:tblPr>
        <w:tblStyle w:val="TableGrid"/>
        <w:tblW w:type="auto" w:w="0"/>
        <w:jc w:val="center"/>
        <w:tblLook w:firstColumn="1" w:firstRow="1" w:lastColumn="0" w:lastRow="0" w:noHBand="0" w:noVBand="1" w:val="04A0"/>
      </w:tblPr>
      <w:tblGrid>
        <w:gridCol w:w="4968"/>
        <w:gridCol w:w="4968"/>
      </w:tblGrid>
      <w:tr>
        <w:tc>
          <w:tcPr>
            <w:tcW w:type="dxa" w:w="2088"/>
            <w:vAlign w:val="center"/>
            <w:shd w:fill="123D31"/>
          </w:tcPr>
          <w:p>
            <w:pPr>
              <w:spacing w:after="20"/>
            </w:pPr>
            <w:r/>
            <w:r>
              <w:rPr>
                <w:rFonts w:ascii="Aptos" w:hAnsi="Aptos"/>
                <w:b/>
                <w:color w:val="FFFFFF"/>
                <w:sz w:val="18"/>
              </w:rPr>
              <w:t>Step</w:t>
            </w:r>
          </w:p>
        </w:tc>
        <w:tc>
          <w:tcPr>
            <w:tcW w:type="dxa" w:w="7704"/>
            <w:vAlign w:val="center"/>
            <w:shd w:fill="123D31"/>
          </w:tcPr>
          <w:p>
            <w:pPr>
              <w:spacing w:after="20"/>
            </w:pPr>
            <w:r/>
            <w:r>
              <w:rPr>
                <w:rFonts w:ascii="Aptos" w:hAnsi="Aptos"/>
                <w:b/>
                <w:color w:val="FFFFFF"/>
                <w:sz w:val="18"/>
              </w:rPr>
              <w:t>Screen design and behavior</w:t>
            </w:r>
          </w:p>
        </w:tc>
      </w:tr>
      <w:tr>
        <w:tc>
          <w:tcPr>
            <w:tcW w:type="dxa" w:w="2088"/>
            <w:vAlign w:val="center"/>
          </w:tcPr>
          <w:p>
            <w:pPr>
              <w:spacing w:after="20"/>
            </w:pPr>
            <w:r/>
            <w:r>
              <w:rPr>
                <w:rFonts w:ascii="Aptos" w:hAnsi="Aptos"/>
                <w:b w:val="0"/>
                <w:color w:val="26352F"/>
                <w:sz w:val="17"/>
              </w:rPr>
              <w:t>Select plan</w:t>
            </w:r>
          </w:p>
        </w:tc>
        <w:tc>
          <w:tcPr>
            <w:tcW w:type="dxa" w:w="7704"/>
            <w:vAlign w:val="center"/>
          </w:tcPr>
          <w:p>
            <w:pPr>
              <w:spacing w:after="20"/>
            </w:pPr>
            <w:r/>
            <w:r>
              <w:rPr>
                <w:rFonts w:ascii="Aptos" w:hAnsi="Aptos"/>
                <w:b w:val="0"/>
                <w:color w:val="26352F"/>
                <w:sz w:val="17"/>
              </w:rPr>
              <w:t>Show chosen plan, price, billing period and member limit; allow the customer to change it.</w:t>
            </w:r>
          </w:p>
        </w:tc>
      </w:tr>
      <w:tr>
        <w:tc>
          <w:tcPr>
            <w:tcW w:type="dxa" w:w="2088"/>
            <w:vAlign w:val="center"/>
            <w:shd w:fill="F5F9F6"/>
          </w:tcPr>
          <w:p>
            <w:pPr>
              <w:spacing w:after="20"/>
            </w:pPr>
            <w:r/>
            <w:r>
              <w:rPr>
                <w:rFonts w:ascii="Aptos" w:hAnsi="Aptos"/>
                <w:b w:val="0"/>
                <w:color w:val="26352F"/>
                <w:sz w:val="17"/>
              </w:rPr>
              <w:t>Checkout</w:t>
            </w:r>
          </w:p>
        </w:tc>
        <w:tc>
          <w:tcPr>
            <w:tcW w:type="dxa" w:w="7704"/>
            <w:vAlign w:val="center"/>
            <w:shd w:fill="F5F9F6"/>
          </w:tcPr>
          <w:p>
            <w:pPr>
              <w:spacing w:after="20"/>
            </w:pPr>
            <w:r/>
            <w:r>
              <w:rPr>
                <w:rFonts w:ascii="Aptos" w:hAnsi="Aptos"/>
                <w:b w:val="0"/>
                <w:color w:val="26352F"/>
                <w:sz w:val="17"/>
              </w:rPr>
              <w:t>Use a trusted provider checkout and show clear payment status. Never collect unnecessary payment data.</w:t>
            </w:r>
          </w:p>
        </w:tc>
      </w:tr>
      <w:tr>
        <w:tc>
          <w:tcPr>
            <w:tcW w:type="dxa" w:w="2088"/>
            <w:vAlign w:val="center"/>
          </w:tcPr>
          <w:p>
            <w:pPr>
              <w:spacing w:after="20"/>
            </w:pPr>
            <w:r/>
            <w:r>
              <w:rPr>
                <w:rFonts w:ascii="Aptos" w:hAnsi="Aptos"/>
                <w:b w:val="0"/>
                <w:color w:val="26352F"/>
                <w:sz w:val="17"/>
              </w:rPr>
              <w:t>Verified success</w:t>
            </w:r>
          </w:p>
        </w:tc>
        <w:tc>
          <w:tcPr>
            <w:tcW w:type="dxa" w:w="7704"/>
            <w:vAlign w:val="center"/>
          </w:tcPr>
          <w:p>
            <w:pPr>
              <w:spacing w:after="20"/>
            </w:pPr>
            <w:r/>
            <w:r>
              <w:rPr>
                <w:rFonts w:ascii="Aptos" w:hAnsi="Aptos"/>
                <w:b w:val="0"/>
                <w:color w:val="26352F"/>
                <w:sz w:val="17"/>
              </w:rPr>
              <w:t>Show a clear confirmation only after the server verifies the payment.</w:t>
            </w:r>
          </w:p>
        </w:tc>
      </w:tr>
      <w:tr>
        <w:tc>
          <w:tcPr>
            <w:tcW w:type="dxa" w:w="2088"/>
            <w:vAlign w:val="center"/>
            <w:shd w:fill="F5F9F6"/>
          </w:tcPr>
          <w:p>
            <w:pPr>
              <w:spacing w:after="20"/>
            </w:pPr>
            <w:r/>
            <w:r>
              <w:rPr>
                <w:rFonts w:ascii="Aptos" w:hAnsi="Aptos"/>
                <w:b w:val="0"/>
                <w:color w:val="26352F"/>
                <w:sz w:val="17"/>
              </w:rPr>
              <w:t>SACCO registration</w:t>
            </w:r>
          </w:p>
        </w:tc>
        <w:tc>
          <w:tcPr>
            <w:tcW w:type="dxa" w:w="7704"/>
            <w:vAlign w:val="center"/>
            <w:shd w:fill="F5F9F6"/>
          </w:tcPr>
          <w:p>
            <w:pPr>
              <w:spacing w:after="20"/>
            </w:pPr>
            <w:r/>
            <w:r>
              <w:rPr>
                <w:rFonts w:ascii="Aptos" w:hAnsi="Aptos"/>
                <w:b w:val="0"/>
                <w:color w:val="26352F"/>
                <w:sz w:val="17"/>
              </w:rPr>
              <w:t>Continue to a full-page form on mobile rather than relying on a small popup.</w:t>
            </w:r>
          </w:p>
        </w:tc>
      </w:tr>
      <w:tr>
        <w:tc>
          <w:tcPr>
            <w:tcW w:type="dxa" w:w="2088"/>
            <w:vAlign w:val="center"/>
          </w:tcPr>
          <w:p>
            <w:pPr>
              <w:spacing w:after="20"/>
            </w:pPr>
            <w:r/>
            <w:r>
              <w:rPr>
                <w:rFonts w:ascii="Aptos" w:hAnsi="Aptos"/>
                <w:b w:val="0"/>
                <w:color w:val="26352F"/>
                <w:sz w:val="17"/>
              </w:rPr>
              <w:t>Workspace setup</w:t>
            </w:r>
          </w:p>
        </w:tc>
        <w:tc>
          <w:tcPr>
            <w:tcW w:type="dxa" w:w="7704"/>
            <w:vAlign w:val="center"/>
          </w:tcPr>
          <w:p>
            <w:pPr>
              <w:spacing w:after="20"/>
            </w:pPr>
            <w:r/>
            <w:r>
              <w:rPr>
                <w:rFonts w:ascii="Aptos" w:hAnsi="Aptos"/>
                <w:b w:val="0"/>
                <w:color w:val="26352F"/>
                <w:sz w:val="17"/>
              </w:rPr>
              <w:t>Guide the first administrator through SACCO details, products, users and member imports.</w:t>
            </w:r>
          </w:p>
        </w:tc>
      </w:tr>
      <w:tr>
        <w:tc>
          <w:tcPr>
            <w:tcW w:type="dxa" w:w="2088"/>
            <w:vAlign w:val="center"/>
            <w:shd w:fill="F5F9F6"/>
          </w:tcPr>
          <w:p>
            <w:pPr>
              <w:spacing w:after="20"/>
            </w:pPr>
            <w:r/>
            <w:r>
              <w:rPr>
                <w:rFonts w:ascii="Aptos" w:hAnsi="Aptos"/>
                <w:b w:val="0"/>
                <w:color w:val="26352F"/>
                <w:sz w:val="17"/>
              </w:rPr>
              <w:t>Recovery</w:t>
            </w:r>
          </w:p>
        </w:tc>
        <w:tc>
          <w:tcPr>
            <w:tcW w:type="dxa" w:w="7704"/>
            <w:vAlign w:val="center"/>
            <w:shd w:fill="F5F9F6"/>
          </w:tcPr>
          <w:p>
            <w:pPr>
              <w:spacing w:after="20"/>
            </w:pPr>
            <w:r/>
            <w:r>
              <w:rPr>
                <w:rFonts w:ascii="Aptos" w:hAnsi="Aptos"/>
                <w:b w:val="0"/>
                <w:color w:val="26352F"/>
                <w:sz w:val="17"/>
              </w:rPr>
              <w:t>Let users safely resume if they close the browser or payment confirmation is delayed.</w:t>
            </w:r>
          </w:p>
        </w:tc>
      </w:tr>
    </w:tbl>
    <w:p/>
    <w:p>
      <w:pPr>
        <w:pStyle w:val="Heading1"/>
        <w:keepNext/>
      </w:pPr>
      <w:r>
        <w:t>11. Branding rules</w:t>
      </w:r>
    </w:p>
    <w:p>
      <w:pPr>
        <w:pStyle w:val="ListBullet"/>
        <w:spacing w:after="40"/>
      </w:pPr>
      <w:r>
        <w:t>Create a new name, logo and brand identity for the SACCO platform.</w:t>
      </w:r>
    </w:p>
    <w:p>
      <w:pPr>
        <w:pStyle w:val="ListBullet"/>
        <w:spacing w:after="40"/>
      </w:pPr>
      <w:r>
        <w:t>Do not use the reference website's logo, exact text, screenshots or proprietary illustrations.</w:t>
      </w:r>
    </w:p>
    <w:p>
      <w:pPr>
        <w:pStyle w:val="ListBullet"/>
        <w:spacing w:after="40"/>
      </w:pPr>
      <w:r>
        <w:t>Keep the mint/forest-green mood and split-hero structure, but make the page composition and components original.</w:t>
      </w:r>
    </w:p>
    <w:p>
      <w:pPr>
        <w:pStyle w:val="ListBullet"/>
        <w:spacing w:after="40"/>
      </w:pPr>
      <w:r>
        <w:t>Use fictional, clearly illustrative dashboard data in marketing material.</w:t>
      </w:r>
    </w:p>
    <w:p>
      <w:pPr>
        <w:pStyle w:val="ListBullet"/>
        <w:spacing w:after="40"/>
      </w:pPr>
      <w:r>
        <w:t>Keep design tokens consistent across the public site, SACCO admin portal and member portal.</w:t>
      </w:r>
    </w:p>
    <w:p>
      <w:pPr>
        <w:pStyle w:val="Heading1"/>
        <w:keepNext/>
      </w:pPr>
      <w:r>
        <w:t>12. Design acceptance checklist</w:t>
      </w:r>
    </w:p>
    <w:p>
      <w:pPr>
        <w:pStyle w:val="ListBullet"/>
        <w:spacing w:after="40"/>
      </w:pPr>
      <w:r>
        <w:t>☐  The visual style consistently uses mint, forest green, action green and white.</w:t>
      </w:r>
    </w:p>
    <w:p>
      <w:pPr>
        <w:pStyle w:val="ListBullet"/>
        <w:spacing w:after="40"/>
      </w:pPr>
      <w:r>
        <w:t>☐  The landing page has a clear split hero with text and a dashboard preview on desktop.</w:t>
      </w:r>
    </w:p>
    <w:p>
      <w:pPr>
        <w:pStyle w:val="ListBullet"/>
        <w:spacing w:after="40"/>
      </w:pPr>
      <w:r>
        <w:t>☐  The mobile hero stacks naturally and remains easy to read.</w:t>
      </w:r>
    </w:p>
    <w:p>
      <w:pPr>
        <w:pStyle w:val="ListBullet"/>
        <w:spacing w:after="40"/>
      </w:pPr>
      <w:r>
        <w:t>☐  Navigation, CTA buttons and pricing cards are consistent across breakpoints.</w:t>
      </w:r>
    </w:p>
    <w:p>
      <w:pPr>
        <w:pStyle w:val="ListBullet"/>
        <w:spacing w:after="40"/>
      </w:pPr>
      <w:r>
        <w:t>☐  The dashboard preview looks like a coherent financial product and uses fictional data.</w:t>
      </w:r>
    </w:p>
    <w:p>
      <w:pPr>
        <w:pStyle w:val="ListBullet"/>
        <w:spacing w:after="40"/>
      </w:pPr>
      <w:r>
        <w:t>☐  Text and controls meet appropriate contrast and keyboard-accessibility expectations.</w:t>
      </w:r>
    </w:p>
    <w:p>
      <w:pPr>
        <w:pStyle w:val="ListBullet"/>
        <w:spacing w:after="40"/>
      </w:pPr>
      <w:r>
        <w:t>☐  No content is clipped on phones, iPads, tablets or desktop screens.</w:t>
      </w:r>
    </w:p>
    <w:p>
      <w:pPr>
        <w:pStyle w:val="ListBullet"/>
        <w:spacing w:after="40"/>
      </w:pPr>
      <w:r>
        <w:t>☐  Signup and checkout transitions are clear, with visible loading, success and error states.</w:t>
      </w:r>
    </w:p>
    <w:p>
      <w:pPr>
        <w:pStyle w:val="ListBullet"/>
        <w:spacing w:after="40"/>
      </w:pPr>
      <w:r>
        <w:t>☐  Brand assets and copy are original and do not copy the reference company's identity.</w:t>
      </w:r>
    </w:p>
    <w:p>
      <w:pPr>
        <w:pStyle w:val="ListBullet"/>
        <w:spacing w:after="40"/>
      </w:pPr>
      <w:r>
        <w:t>☐  The design is checked on real devices or browser emulators before launch.</w:t>
      </w:r>
    </w:p>
    <w:p>
      <w:pPr>
        <w:pStyle w:val="Heading1"/>
        <w:keepNext/>
      </w:pPr>
      <w:r>
        <w:t>13. Short design brief for a website builder</w:t>
      </w:r>
    </w:p>
    <w:tbl>
      <w:tblPr>
        <w:tblStyle w:val="TableGrid"/>
        <w:tblW w:type="auto" w:w="0"/>
        <w:tblLook w:firstColumn="1" w:firstRow="1" w:lastColumn="0" w:lastRow="0" w:noHBand="0" w:noVBand="1" w:val="04A0"/>
      </w:tblPr>
      <w:tblGrid>
        <w:gridCol w:w="9936"/>
      </w:tblGrid>
      <w:tr>
        <w:tc>
          <w:tcPr>
            <w:tcW w:type="dxa" w:w="9936"/>
            <w:shd w:fill="EAF7ED"/>
          </w:tcPr>
          <w:p>
            <w:pPr>
              <w:spacing w:after="60"/>
            </w:pPr>
            <w:r/>
            <w:r>
              <w:rPr>
                <w:b/>
                <w:color w:val="123D31"/>
                <w:sz w:val="20"/>
              </w:rPr>
              <w:t>COPY-READY BUILD BRIEF</w:t>
              <w:br/>
            </w:r>
            <w:r>
              <w:rPr>
                <w:color w:val="26352F"/>
                <w:sz w:val="19"/>
              </w:rPr>
              <w:t>Build an original, responsive SaaS marketing website and product UI for a SACCO management platform serving Uganda. Use a clean fintech aesthetic inspired by the supplied visual reference: pale mint-green backgrounds, deep forest-green typography, fresh green primary buttons, white cards, subtle geometric hero details, generous whitespace and a professional dashboard preview on the right side of the desktop hero. Use a split hero with concise headline and supporting copy on the left, with primary “Start Free Trial” and secondary “Explore Features” actions. Include navigation for Features, Pricing, Security, About, Client Login and Contact Sales; feature sections for members, savings, shares, loans, accounting, reporting and notifications; pricing options for trial, weekly, monthly, yearly and a carefully limited lifetime/founder offer; FAQs; security/privacy information; and a clean footer. Make all pages responsive for phones, iPads, tablets and PCs. The paid subscription flow must verify payment on the server before opening SACCO registration; trial users can register without payment. Use original branding, original interface components and fictional dashboard data. Do not copy the reference brand or assets. Prioritize accessibility, readable typography, fast loading and clear error/success states.</w:t>
            </w:r>
          </w:p>
        </w:tc>
      </w:tr>
    </w:tbl>
    <w:p/>
    <w:p>
      <w:pPr>
        <w:pStyle w:val="Heading1"/>
        <w:keepNext/>
      </w:pPr>
      <w:r>
        <w:t>14. Relationship to the main product blueprint</w:t>
      </w:r>
    </w:p>
    <w:p>
      <w:r>
        <w:t>Keep this visual design blueprint together with the broader “Uganda SACCO SaaS Platform — Product Blueprint.” The broader blueprint defines business workflows, roles, multi-tenant architecture, accounting, notifications, security and rollout stages. This document defines the visual system, page layout, responsive behavior and design acceptance criteria.</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3716A"/>
        <w:sz w:val="16"/>
      </w:rPr>
      <w:t>Visual design reference • Original SACCO branding •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4CAF67"/>
        <w:sz w:val="16"/>
      </w:rPr>
      <w:t>SACCO SAAS PLATFORM  |  VISUAL DESIGN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6352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b/>
      <w:bCs/>
      <w:color w:val="123D31"/>
      <w:sz w:val="40"/>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w:hAnsi="Aptos"/>
      <w:b/>
      <w:bCs/>
      <w:color w:val="4CAF67"/>
      <w:sz w:val="28"/>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Aptos" w:hAnsi="Aptos"/>
      <w:b/>
      <w:bCs/>
      <w:color w:val="123D3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20"/>
      <w:contextualSpacing/>
    </w:pPr>
    <w:rPr>
      <w:rFonts w:asciiTheme="majorHAnsi" w:eastAsiaTheme="majorEastAsia" w:hAnsiTheme="majorHAnsi" w:cstheme="majorBidi" w:ascii="Aptos Display" w:hAnsi="Aptos Display"/>
      <w:b/>
      <w:color w:val="123D31"/>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SACCO SaaS Platform — Visual Design Blueprint</dc:title>
  <dc:subject>Visual design system and responsive website layout for Uganda SACCO SaaS</dc:subject>
  <dc:creator>OpenAI</dc:creator>
  <cp:keywords>SACCO, SaaS, visual design, green palette, landing page, responsive design</cp:keywords>
  <dc:description>generated by python-docx</dc:description>
  <cp:lastModifiedBy/>
  <cp:revision>1</cp:revision>
  <dcterms:created xsi:type="dcterms:W3CDTF">2013-12-23T23:15:00Z</dcterms:created>
  <dcterms:modified xsi:type="dcterms:W3CDTF">2013-12-23T23:15:00Z</dcterms:modified>
  <cp:category/>
</cp:coreProperties>
</file>