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976D2"/>
          <w:sz w:val="34"/>
        </w:rPr>
        <w:t>UGANDA SACCO</w:t>
      </w:r>
    </w:p>
    <w:p>
      <w:pPr>
        <w:spacing w:after="200"/>
        <w:jc w:val="center"/>
      </w:pPr>
      <w:r>
        <w:rPr>
          <w:rFonts w:ascii="Aptos Display" w:hAnsi="Aptos Display"/>
          <w:b/>
          <w:color w:val="123B66"/>
          <w:sz w:val="68"/>
        </w:rPr>
        <w:t>SAAS PLATFORM</w:t>
      </w:r>
    </w:p>
    <w:p>
      <w:pPr>
        <w:jc w:val="center"/>
      </w:pPr>
      <w:r>
        <w:rPr>
          <w:color w:val="5B6573"/>
          <w:sz w:val="34"/>
        </w:rPr>
        <w:t>Product Blueprint &amp; Implementation Roadmap</w:t>
      </w:r>
    </w:p>
    <w:p/>
    <w:tbl>
      <w:tblPr>
        <w:tblStyle w:val="TableGrid"/>
        <w:tblW w:type="auto" w:w="0"/>
        <w:tblLook w:firstColumn="1" w:firstRow="1" w:lastColumn="0" w:lastRow="0" w:noHBand="0" w:noVBand="1" w:val="04A0"/>
      </w:tblPr>
      <w:tblGrid>
        <w:gridCol w:w="9994"/>
      </w:tblGrid>
      <w:tr>
        <w:tc>
          <w:tcPr>
            <w:tcW w:type="dxa" w:w="9994"/>
            <w:shd w:fill="EAF3FB"/>
          </w:tcPr>
          <w:p>
            <w:pPr>
              <w:spacing w:after="60"/>
            </w:pPr>
            <w:r/>
            <w:r>
              <w:rPr>
                <w:b/>
                <w:color w:val="123B66"/>
                <w:sz w:val="20"/>
              </w:rPr>
              <w:t>THE PRODUCT VISION</w:t>
              <w:br/>
            </w:r>
            <w:r>
              <w:rPr>
                <w:sz w:val="19"/>
              </w:rPr>
              <w:t>One centrally hosted, multi-tenant platform that lets SACCOs in Uganda manage members, savings, shares, loans, accounting, reports and notifications—while each SACCO's data remains logically isolated from every other SACCO.</w:t>
            </w:r>
          </w:p>
        </w:tc>
      </w:tr>
    </w:tbl>
    <w:p/>
    <w:p>
      <w:pPr>
        <w:spacing w:before="700"/>
        <w:jc w:val="center"/>
      </w:pPr>
      <w:r>
        <w:rPr>
          <w:b/>
          <w:color w:val="0F766E"/>
          <w:sz w:val="22"/>
        </w:rPr>
        <w:t>Responsive web app • Phones • iPads • Tablets • PCs</w:t>
      </w:r>
    </w:p>
    <w:p>
      <w:pPr>
        <w:jc w:val="center"/>
      </w:pPr>
      <w:r>
        <w:rPr>
          <w:color w:val="5B6573"/>
          <w:sz w:val="18"/>
        </w:rPr>
        <w:t>Prepared as a planning blueprint  |  October 2026</w:t>
      </w:r>
    </w:p>
    <w:p>
      <w:r>
        <w:br w:type="page"/>
      </w:r>
    </w:p>
    <w:p>
      <w:pPr>
        <w:pStyle w:val="Heading1"/>
        <w:keepNext/>
      </w:pPr>
      <w:r>
        <w:t>1. Executive Summary</w:t>
      </w:r>
    </w:p>
    <w:p>
      <w:r>
        <w:t>The proposed product is a subscription-based Software-as-a-Service (SaaS) platform for SACCOs operating in Uganda. It combines a public marketing website and a secure SACCO management application under one hosted service. Each subscribing SACCO receives its own workspace, administrators, staff permissions, members, financial records, reports and configuration.</w:t>
      </w:r>
    </w:p>
    <w:p>
      <w:r>
        <w:t>The public website will explain the product, showcase features, display pricing and offer a trial or demo. For paid plans, the user selects a plan, completes checkout, and—after server-side payment verification—the SACCO registration form opens. Trial users can register without making a payment.</w:t>
      </w:r>
    </w:p>
    <w:tbl>
      <w:tblPr>
        <w:tblStyle w:val="TableGrid"/>
        <w:tblW w:type="auto" w:w="0"/>
        <w:tblLook w:firstColumn="1" w:firstRow="1" w:lastColumn="0" w:lastRow="0" w:noHBand="0" w:noVBand="1" w:val="04A0"/>
      </w:tblPr>
      <w:tblGrid>
        <w:gridCol w:w="9994"/>
      </w:tblGrid>
      <w:tr>
        <w:tc>
          <w:tcPr>
            <w:tcW w:type="dxa" w:w="9994"/>
            <w:shd w:fill="EAF3FB"/>
          </w:tcPr>
          <w:p>
            <w:pPr>
              <w:spacing w:after="60"/>
            </w:pPr>
            <w:r/>
            <w:r>
              <w:rPr>
                <w:b/>
                <w:color w:val="123B66"/>
                <w:sz w:val="20"/>
              </w:rPr>
              <w:t>CORE PRINCIPLE</w:t>
              <w:br/>
            </w:r>
            <w:r>
              <w:rPr>
                <w:sz w:val="19"/>
              </w:rPr>
              <w:t>Financial accuracy, tenant isolation, clear permissions and recoverable audit trails are more important than visual polish alone.</w:t>
            </w:r>
          </w:p>
        </w:tc>
      </w:tr>
    </w:tbl>
    <w:p/>
    <w:p>
      <w:pPr>
        <w:pStyle w:val="Heading1"/>
        <w:keepNext/>
      </w:pPr>
      <w:r>
        <w:t>2. Product Objectives</w:t>
      </w:r>
    </w:p>
    <w:p>
      <w:pPr>
        <w:pStyle w:val="ListBullet"/>
        <w:spacing w:after="40"/>
      </w:pPr>
      <w:r>
        <w:t>Give SACCOs a practical digital system for member administration, savings, shares, loans and reporting.</w:t>
      </w:r>
    </w:p>
    <w:p>
      <w:pPr>
        <w:pStyle w:val="ListBullet"/>
        <w:spacing w:after="40"/>
      </w:pPr>
      <w:r>
        <w:t>Let members view their own balances, statements, loan status and account activity from supported devices.</w:t>
      </w:r>
    </w:p>
    <w:p>
      <w:pPr>
        <w:pStyle w:val="ListBullet"/>
        <w:spacing w:after="40"/>
      </w:pPr>
      <w:r>
        <w:t>Send timely in-app notifications tied to verified account events.</w:t>
      </w:r>
    </w:p>
    <w:p>
      <w:pPr>
        <w:pStyle w:val="ListBullet"/>
        <w:spacing w:after="40"/>
      </w:pPr>
      <w:r>
        <w:t>Operate one centrally hosted platform that supports multiple SACCO customers.</w:t>
      </w:r>
    </w:p>
    <w:p>
      <w:pPr>
        <w:pStyle w:val="ListBullet"/>
        <w:spacing w:after="40"/>
      </w:pPr>
      <w:r>
        <w:t>Provide subscription billing, trial conversion, plan limits and renewal management.</w:t>
      </w:r>
    </w:p>
    <w:p>
      <w:pPr>
        <w:pStyle w:val="ListBullet"/>
        <w:spacing w:after="40"/>
      </w:pPr>
      <w:r>
        <w:t>Support a phased rollout that can be tested with pilot SACCOs before broader adoption.</w:t>
      </w:r>
    </w:p>
    <w:p>
      <w:pPr>
        <w:pStyle w:val="Heading1"/>
        <w:keepNext/>
      </w:pPr>
      <w:r>
        <w:t>3. Uganda SACCO Context and Market Validation</w:t>
      </w:r>
    </w:p>
    <w:p>
      <w:r>
        <w:t>SACCOs are member-based cooperatives that commonly mobilize savings and provide credit to eligible members. Their processes can include membership admission, share capital, savings products, loan applications, guarantors, approvals, repayments, reconciliation, governance and reporting.</w:t>
      </w:r>
    </w:p>
    <w:p>
      <w:r>
        <w:t>Uganda's regulatory context includes the Tier 4 Microfinance Institutions and Money Lenders Act, 2016, SACCO-related regulations, the Cooperative Societies Act, data-protection law and, where payment services are involved, applicable payment-system requirements. The exact obligations depend on the SACCO, the service model and the activities performed by the SaaS provider.</w:t>
      </w:r>
    </w:p>
    <w:tbl>
      <w:tblPr>
        <w:tblStyle w:val="TableGrid"/>
        <w:tblW w:type="auto" w:w="0"/>
        <w:tblLook w:firstColumn="1" w:firstRow="1" w:lastColumn="0" w:lastRow="0" w:noHBand="0" w:noVBand="1" w:val="04A0"/>
      </w:tblPr>
      <w:tblGrid>
        <w:gridCol w:w="9994"/>
      </w:tblGrid>
      <w:tr>
        <w:tc>
          <w:tcPr>
            <w:tcW w:type="dxa" w:w="9994"/>
            <w:shd w:fill="EAF3FB"/>
          </w:tcPr>
          <w:p>
            <w:pPr>
              <w:spacing w:after="60"/>
            </w:pPr>
            <w:r/>
            <w:r>
              <w:rPr>
                <w:b/>
                <w:color w:val="123B66"/>
                <w:sz w:val="20"/>
              </w:rPr>
              <w:t>VALIDATION REQUIRED</w:t>
              <w:br/>
            </w:r>
            <w:r>
              <w:rPr>
                <w:sz w:val="19"/>
              </w:rPr>
              <w:t>Before launch, confirm current licensing, reporting, data-protection, payment and contractual obligations with the relevant Ugandan authorities and qualified legal/accounting advisers. The software should support compliance; it should not promise that software use alone makes a SACCO compliant.</w:t>
            </w:r>
          </w:p>
        </w:tc>
      </w:tr>
    </w:tbl>
    <w:p/>
    <w:p>
      <w:pPr>
        <w:pStyle w:val="Heading2"/>
        <w:keepNext/>
      </w:pPr>
      <w:r>
        <w:t>Competitive landscape</w:t>
      </w:r>
    </w:p>
    <w:p>
      <w:r>
        <w:t>Publicly visible products in the SACCO and community-finance space include SaccoWave, Ensibuuko/Chomoka and PesaSave. Their advertised capabilities indicate that member management, savings and loan tracking, reporting, mobile-money workflows and notifications are not unique by themselves.</w:t>
      </w:r>
    </w:p>
    <w:p>
      <w:r>
        <w:t>Potential differentiators for this product:</w:t>
      </w:r>
    </w:p>
    <w:p>
      <w:pPr>
        <w:pStyle w:val="ListBullet"/>
        <w:spacing w:after="40"/>
      </w:pPr>
      <w:r>
        <w:t>Simple self-service signup and workspace setup.</w:t>
      </w:r>
    </w:p>
    <w:p>
      <w:pPr>
        <w:pStyle w:val="ListBullet"/>
        <w:spacing w:after="40"/>
      </w:pPr>
      <w:r>
        <w:t>Affordable, transparent plans for small and medium SACCOs.</w:t>
      </w:r>
    </w:p>
    <w:p>
      <w:pPr>
        <w:pStyle w:val="ListBullet"/>
        <w:spacing w:after="40"/>
      </w:pPr>
      <w:r>
        <w:t>A mobile-first member experience that works well on low-cost Android phones.</w:t>
      </w:r>
    </w:p>
    <w:p>
      <w:pPr>
        <w:pStyle w:val="ListBullet"/>
        <w:spacing w:after="40"/>
      </w:pPr>
      <w:r>
        <w:t>Reliable accounting records and clear audit trails.</w:t>
      </w:r>
    </w:p>
    <w:p>
      <w:pPr>
        <w:pStyle w:val="ListBullet"/>
        <w:spacing w:after="40"/>
      </w:pPr>
      <w:r>
        <w:t>Spreadsheet migration with validation and opening-balance reconciliation.</w:t>
      </w:r>
    </w:p>
    <w:p>
      <w:pPr>
        <w:pStyle w:val="ListBullet"/>
        <w:spacing w:after="40"/>
      </w:pPr>
      <w:r>
        <w:t>Straightforward subscription administration and responsive support.</w:t>
      </w:r>
    </w:p>
    <w:p>
      <w:r>
        <w:t>Market note: proposed prices in this document are planning hypotheses, not verified competitor prices or proven willingness-to-pay figures. Interview approximately 10–15 SACCOs across different sizes before finalizing pricing and feature priorities.</w:t>
      </w:r>
    </w:p>
    <w:p>
      <w:pPr>
        <w:pStyle w:val="Heading1"/>
        <w:keepNext/>
      </w:pPr>
      <w:r>
        <w:t>4. Target Customers</w:t>
      </w:r>
    </w:p>
    <w:tbl>
      <w:tblPr>
        <w:tblStyle w:val="TableGrid"/>
        <w:tblW w:type="auto" w:w="0"/>
        <w:jc w:val="center"/>
        <w:tblLook w:firstColumn="1" w:firstRow="1" w:lastColumn="0" w:lastRow="0" w:noHBand="0" w:noVBand="1" w:val="04A0"/>
      </w:tblPr>
      <w:tblGrid>
        <w:gridCol w:w="3331"/>
        <w:gridCol w:w="3331"/>
        <w:gridCol w:w="3331"/>
      </w:tblGrid>
      <w:tr>
        <w:tc>
          <w:tcPr>
            <w:tcW w:type="dxa" w:w="2376"/>
            <w:vAlign w:val="center"/>
            <w:shd w:fill="123B66"/>
          </w:tcPr>
          <w:p>
            <w:pPr>
              <w:spacing w:after="20"/>
            </w:pPr>
            <w:r/>
            <w:r>
              <w:rPr>
                <w:rFonts w:ascii="Aptos" w:hAnsi="Aptos"/>
                <w:b/>
                <w:color w:val="FFFFFF"/>
                <w:sz w:val="18"/>
              </w:rPr>
              <w:t>Segment</w:t>
            </w:r>
          </w:p>
        </w:tc>
        <w:tc>
          <w:tcPr>
            <w:tcW w:type="dxa" w:w="3672"/>
            <w:vAlign w:val="center"/>
            <w:shd w:fill="123B66"/>
          </w:tcPr>
          <w:p>
            <w:pPr>
              <w:spacing w:after="20"/>
            </w:pPr>
            <w:r/>
            <w:r>
              <w:rPr>
                <w:rFonts w:ascii="Aptos" w:hAnsi="Aptos"/>
                <w:b/>
                <w:color w:val="FFFFFF"/>
                <w:sz w:val="18"/>
              </w:rPr>
              <w:t>Likely priorities</w:t>
            </w:r>
          </w:p>
        </w:tc>
        <w:tc>
          <w:tcPr>
            <w:tcW w:type="dxa" w:w="3744"/>
            <w:vAlign w:val="center"/>
            <w:shd w:fill="123B66"/>
          </w:tcPr>
          <w:p>
            <w:pPr>
              <w:spacing w:after="20"/>
            </w:pPr>
            <w:r/>
            <w:r>
              <w:rPr>
                <w:rFonts w:ascii="Aptos" w:hAnsi="Aptos"/>
                <w:b/>
                <w:color w:val="FFFFFF"/>
                <w:sz w:val="18"/>
              </w:rPr>
              <w:t>Product emphasis</w:t>
            </w:r>
          </w:p>
        </w:tc>
      </w:tr>
      <w:tr>
        <w:tc>
          <w:tcPr>
            <w:tcW w:type="dxa" w:w="2376"/>
            <w:vAlign w:val="center"/>
          </w:tcPr>
          <w:p>
            <w:pPr>
              <w:spacing w:after="20"/>
            </w:pPr>
            <w:r/>
            <w:r>
              <w:rPr>
                <w:rFonts w:ascii="Aptos" w:hAnsi="Aptos"/>
                <w:b w:val="0"/>
                <w:color w:val="1F2937"/>
                <w:sz w:val="17"/>
              </w:rPr>
              <w:t>Small community or employer SACCOs</w:t>
            </w:r>
          </w:p>
        </w:tc>
        <w:tc>
          <w:tcPr>
            <w:tcW w:type="dxa" w:w="3672"/>
            <w:vAlign w:val="center"/>
          </w:tcPr>
          <w:p>
            <w:pPr>
              <w:spacing w:after="20"/>
            </w:pPr>
            <w:r/>
            <w:r>
              <w:rPr>
                <w:rFonts w:ascii="Aptos" w:hAnsi="Aptos"/>
                <w:b w:val="0"/>
                <w:color w:val="1F2937"/>
                <w:sz w:val="17"/>
              </w:rPr>
              <w:t>Affordable setup, member records, savings, loans and statements</w:t>
            </w:r>
          </w:p>
        </w:tc>
        <w:tc>
          <w:tcPr>
            <w:tcW w:type="dxa" w:w="3744"/>
            <w:vAlign w:val="center"/>
          </w:tcPr>
          <w:p>
            <w:pPr>
              <w:spacing w:after="20"/>
            </w:pPr>
            <w:r/>
            <w:r>
              <w:rPr>
                <w:rFonts w:ascii="Aptos" w:hAnsi="Aptos"/>
                <w:b w:val="0"/>
                <w:color w:val="1F2937"/>
                <w:sz w:val="17"/>
              </w:rPr>
              <w:t>Simple workflows, easy onboarding, clear member portal</w:t>
            </w:r>
          </w:p>
        </w:tc>
      </w:tr>
      <w:tr>
        <w:tc>
          <w:tcPr>
            <w:tcW w:type="dxa" w:w="2376"/>
            <w:vAlign w:val="center"/>
            <w:shd w:fill="F4F7FA"/>
          </w:tcPr>
          <w:p>
            <w:pPr>
              <w:spacing w:after="20"/>
            </w:pPr>
            <w:r/>
            <w:r>
              <w:rPr>
                <w:rFonts w:ascii="Aptos" w:hAnsi="Aptos"/>
                <w:b w:val="0"/>
                <w:color w:val="1F2937"/>
                <w:sz w:val="17"/>
              </w:rPr>
              <w:t>PDM and other community SACCOs</w:t>
            </w:r>
          </w:p>
        </w:tc>
        <w:tc>
          <w:tcPr>
            <w:tcW w:type="dxa" w:w="3672"/>
            <w:vAlign w:val="center"/>
            <w:shd w:fill="F4F7FA"/>
          </w:tcPr>
          <w:p>
            <w:pPr>
              <w:spacing w:after="20"/>
            </w:pPr>
            <w:r/>
            <w:r>
              <w:rPr>
                <w:rFonts w:ascii="Aptos" w:hAnsi="Aptos"/>
                <w:b w:val="0"/>
                <w:color w:val="1F2937"/>
                <w:sz w:val="17"/>
              </w:rPr>
              <w:t>Traceable records, accessible reporting, low-bandwidth usability</w:t>
            </w:r>
          </w:p>
        </w:tc>
        <w:tc>
          <w:tcPr>
            <w:tcW w:type="dxa" w:w="3744"/>
            <w:vAlign w:val="center"/>
            <w:shd w:fill="F4F7FA"/>
          </w:tcPr>
          <w:p>
            <w:pPr>
              <w:spacing w:after="20"/>
            </w:pPr>
            <w:r/>
            <w:r>
              <w:rPr>
                <w:rFonts w:ascii="Aptos" w:hAnsi="Aptos"/>
                <w:b w:val="0"/>
                <w:color w:val="1F2937"/>
                <w:sz w:val="17"/>
              </w:rPr>
              <w:t>Simple reporting, assisted setup, careful compatibility checks</w:t>
            </w:r>
          </w:p>
        </w:tc>
      </w:tr>
      <w:tr>
        <w:tc>
          <w:tcPr>
            <w:tcW w:type="dxa" w:w="2376"/>
            <w:vAlign w:val="center"/>
          </w:tcPr>
          <w:p>
            <w:pPr>
              <w:spacing w:after="20"/>
            </w:pPr>
            <w:r/>
            <w:r>
              <w:rPr>
                <w:rFonts w:ascii="Aptos" w:hAnsi="Aptos"/>
                <w:b w:val="0"/>
                <w:color w:val="1F2937"/>
                <w:sz w:val="17"/>
              </w:rPr>
              <w:t>Established or multi-branch SACCOs</w:t>
            </w:r>
          </w:p>
        </w:tc>
        <w:tc>
          <w:tcPr>
            <w:tcW w:type="dxa" w:w="3672"/>
            <w:vAlign w:val="center"/>
          </w:tcPr>
          <w:p>
            <w:pPr>
              <w:spacing w:after="20"/>
            </w:pPr>
            <w:r/>
            <w:r>
              <w:rPr>
                <w:rFonts w:ascii="Aptos" w:hAnsi="Aptos"/>
                <w:b w:val="0"/>
                <w:color w:val="1F2937"/>
                <w:sz w:val="17"/>
              </w:rPr>
              <w:t>Accounting, approvals, reconciliation, permissions and audit support</w:t>
            </w:r>
          </w:p>
        </w:tc>
        <w:tc>
          <w:tcPr>
            <w:tcW w:type="dxa" w:w="3744"/>
            <w:vAlign w:val="center"/>
          </w:tcPr>
          <w:p>
            <w:pPr>
              <w:spacing w:after="20"/>
            </w:pPr>
            <w:r/>
            <w:r>
              <w:rPr>
                <w:rFonts w:ascii="Aptos" w:hAnsi="Aptos"/>
                <w:b w:val="0"/>
                <w:color w:val="1F2937"/>
                <w:sz w:val="17"/>
              </w:rPr>
              <w:t>Advanced controls, imports, branch-aware reports and integrations</w:t>
            </w:r>
          </w:p>
        </w:tc>
      </w:tr>
    </w:tbl>
    <w:p/>
    <w:p>
      <w:pPr>
        <w:pStyle w:val="Heading1"/>
        <w:keepNext/>
      </w:pPr>
      <w:r>
        <w:t>5. Product Structure</w:t>
      </w:r>
    </w:p>
    <w:p>
      <w:pPr>
        <w:pStyle w:val="Heading2"/>
        <w:keepNext/>
      </w:pPr>
      <w:r>
        <w:t>A. Public marketing website</w:t>
      </w:r>
    </w:p>
    <w:p>
      <w:pPr>
        <w:pStyle w:val="ListBullet"/>
        <w:spacing w:after="40"/>
      </w:pPr>
      <w:r>
        <w:t>Home: value proposition, key benefits, calls to action and product screenshots.</w:t>
      </w:r>
    </w:p>
    <w:p>
      <w:pPr>
        <w:pStyle w:val="ListBullet"/>
        <w:spacing w:after="40"/>
      </w:pPr>
      <w:r>
        <w:t>Features: member management, savings, shares, loans, accounting, reports and notifications.</w:t>
      </w:r>
    </w:p>
    <w:p>
      <w:pPr>
        <w:pStyle w:val="ListBullet"/>
        <w:spacing w:after="40"/>
      </w:pPr>
      <w:r>
        <w:t>Pricing: trial, weekly, monthly, yearly and lifetime/founder offer, with clear limits and terms.</w:t>
      </w:r>
    </w:p>
    <w:p>
      <w:pPr>
        <w:pStyle w:val="ListBullet"/>
        <w:spacing w:after="40"/>
      </w:pPr>
      <w:r>
        <w:t>How it works: onboarding and the SACCO operating cycle.</w:t>
      </w:r>
    </w:p>
    <w:p>
      <w:pPr>
        <w:pStyle w:val="ListBullet"/>
        <w:spacing w:after="40"/>
      </w:pPr>
      <w:r>
        <w:t>Security and privacy: plain-language explanation of safeguards and responsibilities.</w:t>
      </w:r>
    </w:p>
    <w:p>
      <w:pPr>
        <w:pStyle w:val="ListBullet"/>
        <w:spacing w:after="40"/>
      </w:pPr>
      <w:r>
        <w:t>Demo/contact: request a demonstration or speak to the sales/support team.</w:t>
      </w:r>
    </w:p>
    <w:p>
      <w:pPr>
        <w:pStyle w:val="ListBullet"/>
        <w:spacing w:after="40"/>
      </w:pPr>
      <w:r>
        <w:t>FAQs, terms of service, privacy notice, subscription/cancellation policy and contact details.</w:t>
      </w:r>
    </w:p>
    <w:p>
      <w:pPr>
        <w:pStyle w:val="Heading2"/>
        <w:keepNext/>
      </w:pPr>
      <w:r>
        <w:t>B. Secure SACCO management application</w:t>
      </w:r>
    </w:p>
    <w:p>
      <w:pPr>
        <w:pStyle w:val="ListBullet"/>
        <w:spacing w:after="40"/>
      </w:pPr>
      <w:r>
        <w:t>SACCO dashboard: member count, savings totals, loan portfolio, due repayments, arrears and recent activity.</w:t>
      </w:r>
    </w:p>
    <w:p>
      <w:pPr>
        <w:pStyle w:val="ListBullet"/>
        <w:spacing w:after="40"/>
      </w:pPr>
      <w:r>
        <w:t>Member management: registration, member number, profile, status, required documents and import tools.</w:t>
      </w:r>
    </w:p>
    <w:p>
      <w:pPr>
        <w:pStyle w:val="ListBullet"/>
        <w:spacing w:after="40"/>
      </w:pPr>
      <w:r>
        <w:t>Savings and shares: configured products, deposits, withdrawals, balances and statements.</w:t>
      </w:r>
    </w:p>
    <w:p>
      <w:pPr>
        <w:pStyle w:val="ListBullet"/>
        <w:spacing w:after="40"/>
      </w:pPr>
      <w:r>
        <w:t>Loans: products, applications, eligibility, guarantors, approvals, schedules, disbursement and repayments.</w:t>
      </w:r>
    </w:p>
    <w:p>
      <w:pPr>
        <w:pStyle w:val="ListBullet"/>
        <w:spacing w:after="40"/>
      </w:pPr>
      <w:r>
        <w:t>Accounting: double-entry ledger, journals, cashbooks, reconciliation and financial reports.</w:t>
      </w:r>
    </w:p>
    <w:p>
      <w:pPr>
        <w:pStyle w:val="ListBullet"/>
        <w:spacing w:after="40"/>
      </w:pPr>
      <w:r>
        <w:t>Governance: approval limits, committee decisions and meeting records where required.</w:t>
      </w:r>
    </w:p>
    <w:p>
      <w:pPr>
        <w:pStyle w:val="ListBullet"/>
        <w:spacing w:after="40"/>
      </w:pPr>
      <w:r>
        <w:t>Notifications: member inbox, read/unread state, reminders and delivery history.</w:t>
      </w:r>
    </w:p>
    <w:p>
      <w:pPr>
        <w:pStyle w:val="ListBullet"/>
        <w:spacing w:after="40"/>
      </w:pPr>
      <w:r>
        <w:t>Reporting: member statements, loan portfolio, arrears, transaction exports and audit support.</w:t>
      </w:r>
    </w:p>
    <w:p>
      <w:pPr>
        <w:pStyle w:val="ListBullet"/>
        <w:spacing w:after="40"/>
      </w:pPr>
      <w:r>
        <w:t>Settings: branding, branches if supported, business rules, user roles and notification preferences.</w:t>
      </w:r>
    </w:p>
    <w:p>
      <w:pPr>
        <w:pStyle w:val="Heading1"/>
        <w:keepNext/>
      </w:pPr>
      <w:r>
        <w:t>6. Core SACCO Operating Workflow</w:t>
      </w:r>
    </w:p>
    <w:p>
      <w:pPr>
        <w:pStyle w:val="ListNumber"/>
        <w:spacing w:after="80"/>
      </w:pPr>
      <w:r>
        <w:rPr>
          <w:b/>
        </w:rPr>
        <w:t xml:space="preserve">Membership: </w:t>
      </w:r>
      <w:r>
        <w:t>Register and verify the member according to the SACCO's policies; assign a unique member number.</w:t>
      </w:r>
    </w:p>
    <w:p>
      <w:pPr>
        <w:pStyle w:val="ListNumber"/>
        <w:spacing w:after="80"/>
      </w:pPr>
      <w:r>
        <w:rPr>
          <w:b/>
        </w:rPr>
        <w:t xml:space="preserve">Shares and savings: </w:t>
      </w:r>
      <w:r>
        <w:t>Keep share capital and savings distinct; record authorized deposits and withdrawals.</w:t>
      </w:r>
    </w:p>
    <w:p>
      <w:pPr>
        <w:pStyle w:val="ListNumber"/>
        <w:spacing w:after="80"/>
      </w:pPr>
      <w:r>
        <w:rPr>
          <w:b/>
        </w:rPr>
        <w:t xml:space="preserve">Loan application: </w:t>
      </w:r>
      <w:r>
        <w:t>Capture requested amount, product, repayment terms and required guarantor/security information.</w:t>
      </w:r>
    </w:p>
    <w:p>
      <w:pPr>
        <w:pStyle w:val="ListNumber"/>
        <w:spacing w:after="80"/>
      </w:pPr>
      <w:r>
        <w:rPr>
          <w:b/>
        </w:rPr>
        <w:t xml:space="preserve">Assessment and approval: </w:t>
      </w:r>
      <w:r>
        <w:t>Route applications to authorized staff or committees and retain decisions and reasons.</w:t>
      </w:r>
    </w:p>
    <w:p>
      <w:pPr>
        <w:pStyle w:val="ListNumber"/>
        <w:spacing w:after="80"/>
      </w:pPr>
      <w:r>
        <w:rPr>
          <w:b/>
        </w:rPr>
        <w:t xml:space="preserve">Disbursement: </w:t>
      </w:r>
      <w:r>
        <w:t>Record authorized disbursement and the resulting accounting entries.</w:t>
      </w:r>
    </w:p>
    <w:p>
      <w:pPr>
        <w:pStyle w:val="ListNumber"/>
        <w:spacing w:after="80"/>
      </w:pPr>
      <w:r>
        <w:rPr>
          <w:b/>
        </w:rPr>
        <w:t xml:space="preserve">Repayment: </w:t>
      </w:r>
      <w:r>
        <w:t>Allocate receipts to the correct loan and installment; update balances and arrears.</w:t>
      </w:r>
    </w:p>
    <w:p>
      <w:pPr>
        <w:pStyle w:val="ListNumber"/>
        <w:spacing w:after="80"/>
      </w:pPr>
      <w:r>
        <w:rPr>
          <w:b/>
        </w:rPr>
        <w:t xml:space="preserve">Reconciliation and reporting: </w:t>
      </w:r>
      <w:r>
        <w:t>Reconcile cash, bank and supported payment-provider records; generate reports and investigate exceptions.</w:t>
      </w:r>
    </w:p>
    <w:tbl>
      <w:tblPr>
        <w:tblStyle w:val="TableGrid"/>
        <w:tblW w:type="auto" w:w="0"/>
        <w:tblLook w:firstColumn="1" w:firstRow="1" w:lastColumn="0" w:lastRow="0" w:noHBand="0" w:noVBand="1" w:val="04A0"/>
      </w:tblPr>
      <w:tblGrid>
        <w:gridCol w:w="9994"/>
      </w:tblGrid>
      <w:tr>
        <w:tc>
          <w:tcPr>
            <w:tcW w:type="dxa" w:w="9994"/>
            <w:shd w:fill="EAF3FB"/>
          </w:tcPr>
          <w:p>
            <w:pPr>
              <w:spacing w:after="60"/>
            </w:pPr>
            <w:r/>
            <w:r>
              <w:rPr>
                <w:b/>
                <w:color w:val="123B66"/>
                <w:sz w:val="20"/>
              </w:rPr>
              <w:t>ACCOUNTING RULE</w:t>
              <w:br/>
            </w:r>
            <w:r>
              <w:rPr>
                <w:sz w:val="19"/>
              </w:rPr>
              <w:t>Use a double-entry ledger for posted financial transactions. Entries must balance, and posted transactions must not be silently deleted or overwritten. Corrections should use authorized reversals or adjustment entries with a clear audit trail.</w:t>
            </w:r>
          </w:p>
        </w:tc>
      </w:tr>
    </w:tbl>
    <w:p/>
    <w:p>
      <w:pPr>
        <w:pStyle w:val="Heading1"/>
        <w:keepNext/>
      </w:pPr>
      <w:r>
        <w:t>7. Roles and Permissions</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123B66"/>
          </w:tcPr>
          <w:p>
            <w:pPr>
              <w:spacing w:after="20"/>
            </w:pPr>
            <w:r/>
            <w:r>
              <w:rPr>
                <w:rFonts w:ascii="Aptos" w:hAnsi="Aptos"/>
                <w:b/>
                <w:color w:val="FFFFFF"/>
                <w:sz w:val="18"/>
              </w:rPr>
              <w:t>Role</w:t>
            </w:r>
          </w:p>
        </w:tc>
        <w:tc>
          <w:tcPr>
            <w:tcW w:type="dxa" w:w="7200"/>
            <w:vAlign w:val="center"/>
            <w:shd w:fill="123B66"/>
          </w:tcPr>
          <w:p>
            <w:pPr>
              <w:spacing w:after="20"/>
            </w:pPr>
            <w:r/>
            <w:r>
              <w:rPr>
                <w:rFonts w:ascii="Aptos" w:hAnsi="Aptos"/>
                <w:b/>
                <w:color w:val="FFFFFF"/>
                <w:sz w:val="18"/>
              </w:rPr>
              <w:t>Responsibilities</w:t>
            </w:r>
          </w:p>
        </w:tc>
      </w:tr>
      <w:tr>
        <w:tc>
          <w:tcPr>
            <w:tcW w:type="dxa" w:w="2592"/>
            <w:vAlign w:val="center"/>
          </w:tcPr>
          <w:p>
            <w:pPr>
              <w:spacing w:after="20"/>
            </w:pPr>
            <w:r/>
            <w:r>
              <w:rPr>
                <w:rFonts w:ascii="Aptos" w:hAnsi="Aptos"/>
                <w:b w:val="0"/>
                <w:color w:val="1F2937"/>
                <w:sz w:val="17"/>
              </w:rPr>
              <w:t>Platform Super Admin</w:t>
            </w:r>
          </w:p>
        </w:tc>
        <w:tc>
          <w:tcPr>
            <w:tcW w:type="dxa" w:w="7200"/>
            <w:vAlign w:val="center"/>
          </w:tcPr>
          <w:p>
            <w:pPr>
              <w:spacing w:after="20"/>
            </w:pPr>
            <w:r/>
            <w:r>
              <w:rPr>
                <w:rFonts w:ascii="Aptos" w:hAnsi="Aptos"/>
                <w:b w:val="0"/>
                <w:color w:val="1F2937"/>
                <w:sz w:val="17"/>
              </w:rPr>
              <w:t>Manage SaaS customers, plans, subscriptions, system health and support access; exceptional access to customer data must be controlled and logged.</w:t>
            </w:r>
          </w:p>
        </w:tc>
      </w:tr>
      <w:tr>
        <w:tc>
          <w:tcPr>
            <w:tcW w:type="dxa" w:w="2592"/>
            <w:vAlign w:val="center"/>
            <w:shd w:fill="F4F7FA"/>
          </w:tcPr>
          <w:p>
            <w:pPr>
              <w:spacing w:after="20"/>
            </w:pPr>
            <w:r/>
            <w:r>
              <w:rPr>
                <w:rFonts w:ascii="Aptos" w:hAnsi="Aptos"/>
                <w:b w:val="0"/>
                <w:color w:val="1F2937"/>
                <w:sz w:val="17"/>
              </w:rPr>
              <w:t>SACCO Administrator</w:t>
            </w:r>
          </w:p>
        </w:tc>
        <w:tc>
          <w:tcPr>
            <w:tcW w:type="dxa" w:w="7200"/>
            <w:vAlign w:val="center"/>
            <w:shd w:fill="F4F7FA"/>
          </w:tcPr>
          <w:p>
            <w:pPr>
              <w:spacing w:after="20"/>
            </w:pPr>
            <w:r/>
            <w:r>
              <w:rPr>
                <w:rFonts w:ascii="Aptos" w:hAnsi="Aptos"/>
                <w:b w:val="0"/>
                <w:color w:val="1F2937"/>
                <w:sz w:val="17"/>
              </w:rPr>
              <w:t>Manage the SACCO profile, users, settings and authorized workflows.</w:t>
            </w:r>
          </w:p>
        </w:tc>
      </w:tr>
      <w:tr>
        <w:tc>
          <w:tcPr>
            <w:tcW w:type="dxa" w:w="2592"/>
            <w:vAlign w:val="center"/>
          </w:tcPr>
          <w:p>
            <w:pPr>
              <w:spacing w:after="20"/>
            </w:pPr>
            <w:r/>
            <w:r>
              <w:rPr>
                <w:rFonts w:ascii="Aptos" w:hAnsi="Aptos"/>
                <w:b w:val="0"/>
                <w:color w:val="1F2937"/>
                <w:sz w:val="17"/>
              </w:rPr>
              <w:t>Manager</w:t>
            </w:r>
          </w:p>
        </w:tc>
        <w:tc>
          <w:tcPr>
            <w:tcW w:type="dxa" w:w="7200"/>
            <w:vAlign w:val="center"/>
          </w:tcPr>
          <w:p>
            <w:pPr>
              <w:spacing w:after="20"/>
            </w:pPr>
            <w:r/>
            <w:r>
              <w:rPr>
                <w:rFonts w:ascii="Aptos" w:hAnsi="Aptos"/>
                <w:b w:val="0"/>
                <w:color w:val="1F2937"/>
                <w:sz w:val="17"/>
              </w:rPr>
              <w:t>Oversee operations, exceptions, approvals and reports.</w:t>
            </w:r>
          </w:p>
        </w:tc>
      </w:tr>
      <w:tr>
        <w:tc>
          <w:tcPr>
            <w:tcW w:type="dxa" w:w="2592"/>
            <w:vAlign w:val="center"/>
            <w:shd w:fill="F4F7FA"/>
          </w:tcPr>
          <w:p>
            <w:pPr>
              <w:spacing w:after="20"/>
            </w:pPr>
            <w:r/>
            <w:r>
              <w:rPr>
                <w:rFonts w:ascii="Aptos" w:hAnsi="Aptos"/>
                <w:b w:val="0"/>
                <w:color w:val="1F2937"/>
                <w:sz w:val="17"/>
              </w:rPr>
              <w:t>Accountant/Cashier</w:t>
            </w:r>
          </w:p>
        </w:tc>
        <w:tc>
          <w:tcPr>
            <w:tcW w:type="dxa" w:w="7200"/>
            <w:vAlign w:val="center"/>
            <w:shd w:fill="F4F7FA"/>
          </w:tcPr>
          <w:p>
            <w:pPr>
              <w:spacing w:after="20"/>
            </w:pPr>
            <w:r/>
            <w:r>
              <w:rPr>
                <w:rFonts w:ascii="Aptos" w:hAnsi="Aptos"/>
                <w:b w:val="0"/>
                <w:color w:val="1F2937"/>
                <w:sz w:val="17"/>
              </w:rPr>
              <w:t>Record and reconcile authorized financial transactions.</w:t>
            </w:r>
          </w:p>
        </w:tc>
      </w:tr>
      <w:tr>
        <w:tc>
          <w:tcPr>
            <w:tcW w:type="dxa" w:w="2592"/>
            <w:vAlign w:val="center"/>
          </w:tcPr>
          <w:p>
            <w:pPr>
              <w:spacing w:after="20"/>
            </w:pPr>
            <w:r/>
            <w:r>
              <w:rPr>
                <w:rFonts w:ascii="Aptos" w:hAnsi="Aptos"/>
                <w:b w:val="0"/>
                <w:color w:val="1F2937"/>
                <w:sz w:val="17"/>
              </w:rPr>
              <w:t>Loan Officer</w:t>
            </w:r>
          </w:p>
        </w:tc>
        <w:tc>
          <w:tcPr>
            <w:tcW w:type="dxa" w:w="7200"/>
            <w:vAlign w:val="center"/>
          </w:tcPr>
          <w:p>
            <w:pPr>
              <w:spacing w:after="20"/>
            </w:pPr>
            <w:r/>
            <w:r>
              <w:rPr>
                <w:rFonts w:ascii="Aptos" w:hAnsi="Aptos"/>
                <w:b w:val="0"/>
                <w:color w:val="1F2937"/>
                <w:sz w:val="17"/>
              </w:rPr>
              <w:t>Process applications and assess loan files.</w:t>
            </w:r>
          </w:p>
        </w:tc>
      </w:tr>
      <w:tr>
        <w:tc>
          <w:tcPr>
            <w:tcW w:type="dxa" w:w="2592"/>
            <w:vAlign w:val="center"/>
            <w:shd w:fill="F4F7FA"/>
          </w:tcPr>
          <w:p>
            <w:pPr>
              <w:spacing w:after="20"/>
            </w:pPr>
            <w:r/>
            <w:r>
              <w:rPr>
                <w:rFonts w:ascii="Aptos" w:hAnsi="Aptos"/>
                <w:b w:val="0"/>
                <w:color w:val="1F2937"/>
                <w:sz w:val="17"/>
              </w:rPr>
              <w:t>Credit Committee/Approver</w:t>
            </w:r>
          </w:p>
        </w:tc>
        <w:tc>
          <w:tcPr>
            <w:tcW w:type="dxa" w:w="7200"/>
            <w:vAlign w:val="center"/>
            <w:shd w:fill="F4F7FA"/>
          </w:tcPr>
          <w:p>
            <w:pPr>
              <w:spacing w:after="20"/>
            </w:pPr>
            <w:r/>
            <w:r>
              <w:rPr>
                <w:rFonts w:ascii="Aptos" w:hAnsi="Aptos"/>
                <w:b w:val="0"/>
                <w:color w:val="1F2937"/>
                <w:sz w:val="17"/>
              </w:rPr>
              <w:t>Approve or reject applications according to configured authority.</w:t>
            </w:r>
          </w:p>
        </w:tc>
      </w:tr>
      <w:tr>
        <w:tc>
          <w:tcPr>
            <w:tcW w:type="dxa" w:w="2592"/>
            <w:vAlign w:val="center"/>
          </w:tcPr>
          <w:p>
            <w:pPr>
              <w:spacing w:after="20"/>
            </w:pPr>
            <w:r/>
            <w:r>
              <w:rPr>
                <w:rFonts w:ascii="Aptos" w:hAnsi="Aptos"/>
                <w:b w:val="0"/>
                <w:color w:val="1F2937"/>
                <w:sz w:val="17"/>
              </w:rPr>
              <w:t>Auditor</w:t>
            </w:r>
          </w:p>
        </w:tc>
        <w:tc>
          <w:tcPr>
            <w:tcW w:type="dxa" w:w="7200"/>
            <w:vAlign w:val="center"/>
          </w:tcPr>
          <w:p>
            <w:pPr>
              <w:spacing w:after="20"/>
            </w:pPr>
            <w:r/>
            <w:r>
              <w:rPr>
                <w:rFonts w:ascii="Aptos" w:hAnsi="Aptos"/>
                <w:b w:val="0"/>
                <w:color w:val="1F2937"/>
                <w:sz w:val="17"/>
              </w:rPr>
              <w:t>Read-only access to authorized records, journals and audit reports.</w:t>
            </w:r>
          </w:p>
        </w:tc>
      </w:tr>
      <w:tr>
        <w:tc>
          <w:tcPr>
            <w:tcW w:type="dxa" w:w="2592"/>
            <w:vAlign w:val="center"/>
            <w:shd w:fill="F4F7FA"/>
          </w:tcPr>
          <w:p>
            <w:pPr>
              <w:spacing w:after="20"/>
            </w:pPr>
            <w:r/>
            <w:r>
              <w:rPr>
                <w:rFonts w:ascii="Aptos" w:hAnsi="Aptos"/>
                <w:b w:val="0"/>
                <w:color w:val="1F2937"/>
                <w:sz w:val="17"/>
              </w:rPr>
              <w:t>Member</w:t>
            </w:r>
          </w:p>
        </w:tc>
        <w:tc>
          <w:tcPr>
            <w:tcW w:type="dxa" w:w="7200"/>
            <w:vAlign w:val="center"/>
            <w:shd w:fill="F4F7FA"/>
          </w:tcPr>
          <w:p>
            <w:pPr>
              <w:spacing w:after="20"/>
            </w:pPr>
            <w:r/>
            <w:r>
              <w:rPr>
                <w:rFonts w:ascii="Aptos" w:hAnsi="Aptos"/>
                <w:b w:val="0"/>
                <w:color w:val="1F2937"/>
                <w:sz w:val="17"/>
              </w:rPr>
              <w:t>View only their own accounts, statements, loan status and notifications.</w:t>
            </w:r>
          </w:p>
        </w:tc>
      </w:tr>
    </w:tbl>
    <w:p/>
    <w:p>
      <w:pPr>
        <w:pStyle w:val="Heading1"/>
        <w:keepNext/>
      </w:pPr>
      <w:r>
        <w:t>8. SaaS Pricing Proposal</w:t>
      </w:r>
    </w:p>
    <w:p>
      <w:r>
        <w:t>The following is an initial model to test with prospective customers. Prices are illustrative UGX planning estimates and should be validated against operating costs, support burden and customer interviews.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368"/>
            <w:vAlign w:val="center"/>
            <w:shd w:fill="123B66"/>
          </w:tcPr>
          <w:p>
            <w:pPr>
              <w:spacing w:after="20"/>
            </w:pPr>
            <w:r/>
            <w:r>
              <w:rPr>
                <w:rFonts w:ascii="Aptos" w:hAnsi="Aptos"/>
                <w:b/>
                <w:color w:val="FFFFFF"/>
                <w:sz w:val="18"/>
              </w:rPr>
              <w:t>Tier</w:t>
            </w:r>
          </w:p>
        </w:tc>
        <w:tc>
          <w:tcPr>
            <w:tcW w:type="dxa" w:w="1296"/>
            <w:vAlign w:val="center"/>
            <w:shd w:fill="123B66"/>
          </w:tcPr>
          <w:p>
            <w:pPr>
              <w:spacing w:after="20"/>
            </w:pPr>
            <w:r/>
            <w:r>
              <w:rPr>
                <w:rFonts w:ascii="Aptos" w:hAnsi="Aptos"/>
                <w:b/>
                <w:color w:val="FFFFFF"/>
                <w:sz w:val="18"/>
              </w:rPr>
              <w:t>Member limit</w:t>
            </w:r>
          </w:p>
        </w:tc>
        <w:tc>
          <w:tcPr>
            <w:tcW w:type="dxa" w:w="1296"/>
            <w:vAlign w:val="center"/>
            <w:shd w:fill="123B66"/>
          </w:tcPr>
          <w:p>
            <w:pPr>
              <w:spacing w:after="20"/>
            </w:pPr>
            <w:r/>
            <w:r>
              <w:rPr>
                <w:rFonts w:ascii="Aptos" w:hAnsi="Aptos"/>
                <w:b/>
                <w:color w:val="FFFFFF"/>
                <w:sz w:val="18"/>
              </w:rPr>
              <w:t>Weekly</w:t>
            </w:r>
          </w:p>
        </w:tc>
        <w:tc>
          <w:tcPr>
            <w:tcW w:type="dxa" w:w="1368"/>
            <w:vAlign w:val="center"/>
            <w:shd w:fill="123B66"/>
          </w:tcPr>
          <w:p>
            <w:pPr>
              <w:spacing w:after="20"/>
            </w:pPr>
            <w:r/>
            <w:r>
              <w:rPr>
                <w:rFonts w:ascii="Aptos" w:hAnsi="Aptos"/>
                <w:b/>
                <w:color w:val="FFFFFF"/>
                <w:sz w:val="18"/>
              </w:rPr>
              <w:t>Monthly</w:t>
            </w:r>
          </w:p>
        </w:tc>
        <w:tc>
          <w:tcPr>
            <w:tcW w:type="dxa" w:w="1368"/>
            <w:vAlign w:val="center"/>
            <w:shd w:fill="123B66"/>
          </w:tcPr>
          <w:p>
            <w:pPr>
              <w:spacing w:after="20"/>
            </w:pPr>
            <w:r/>
            <w:r>
              <w:rPr>
                <w:rFonts w:ascii="Aptos" w:hAnsi="Aptos"/>
                <w:b/>
                <w:color w:val="FFFFFF"/>
                <w:sz w:val="18"/>
              </w:rPr>
              <w:t>Yearly</w:t>
            </w:r>
          </w:p>
        </w:tc>
        <w:tc>
          <w:tcPr>
            <w:tcW w:type="dxa" w:w="1944"/>
            <w:vAlign w:val="center"/>
            <w:shd w:fill="123B66"/>
          </w:tcPr>
          <w:p>
            <w:pPr>
              <w:spacing w:after="20"/>
            </w:pPr>
            <w:r/>
            <w:r>
              <w:rPr>
                <w:rFonts w:ascii="Aptos" w:hAnsi="Aptos"/>
                <w:b/>
                <w:color w:val="FFFFFF"/>
                <w:sz w:val="18"/>
              </w:rPr>
              <w:t>Lifetime founder offer</w:t>
            </w:r>
          </w:p>
        </w:tc>
      </w:tr>
      <w:tr>
        <w:tc>
          <w:tcPr>
            <w:tcW w:type="dxa" w:w="1368"/>
            <w:vAlign w:val="center"/>
          </w:tcPr>
          <w:p>
            <w:pPr>
              <w:spacing w:after="20"/>
            </w:pPr>
            <w:r/>
            <w:r>
              <w:rPr>
                <w:rFonts w:ascii="Aptos" w:hAnsi="Aptos"/>
                <w:b w:val="0"/>
                <w:color w:val="1F2937"/>
                <w:sz w:val="17"/>
              </w:rPr>
              <w:t>Starter</w:t>
            </w:r>
          </w:p>
        </w:tc>
        <w:tc>
          <w:tcPr>
            <w:tcW w:type="dxa" w:w="1296"/>
            <w:vAlign w:val="center"/>
          </w:tcPr>
          <w:p>
            <w:pPr>
              <w:spacing w:after="20"/>
            </w:pPr>
            <w:r/>
            <w:r>
              <w:rPr>
                <w:rFonts w:ascii="Aptos" w:hAnsi="Aptos"/>
                <w:b w:val="0"/>
                <w:color w:val="1F2937"/>
                <w:sz w:val="17"/>
              </w:rPr>
              <w:t>Up to 100</w:t>
            </w:r>
          </w:p>
        </w:tc>
        <w:tc>
          <w:tcPr>
            <w:tcW w:type="dxa" w:w="1296"/>
            <w:vAlign w:val="center"/>
          </w:tcPr>
          <w:p>
            <w:pPr>
              <w:spacing w:after="20"/>
            </w:pPr>
            <w:r/>
            <w:r>
              <w:rPr>
                <w:rFonts w:ascii="Aptos" w:hAnsi="Aptos"/>
                <w:b w:val="0"/>
                <w:color w:val="1F2937"/>
                <w:sz w:val="17"/>
              </w:rPr>
              <w:t>UGX 25,000</w:t>
            </w:r>
          </w:p>
        </w:tc>
        <w:tc>
          <w:tcPr>
            <w:tcW w:type="dxa" w:w="1368"/>
            <w:vAlign w:val="center"/>
          </w:tcPr>
          <w:p>
            <w:pPr>
              <w:spacing w:after="20"/>
            </w:pPr>
            <w:r/>
            <w:r>
              <w:rPr>
                <w:rFonts w:ascii="Aptos" w:hAnsi="Aptos"/>
                <w:b w:val="0"/>
                <w:color w:val="1F2937"/>
                <w:sz w:val="17"/>
              </w:rPr>
              <w:t>UGX 75,000</w:t>
            </w:r>
          </w:p>
        </w:tc>
        <w:tc>
          <w:tcPr>
            <w:tcW w:type="dxa" w:w="1368"/>
            <w:vAlign w:val="center"/>
          </w:tcPr>
          <w:p>
            <w:pPr>
              <w:spacing w:after="20"/>
            </w:pPr>
            <w:r/>
            <w:r>
              <w:rPr>
                <w:rFonts w:ascii="Aptos" w:hAnsi="Aptos"/>
                <w:b w:val="0"/>
                <w:color w:val="1F2937"/>
                <w:sz w:val="17"/>
              </w:rPr>
              <w:t>UGX 750,000</w:t>
            </w:r>
          </w:p>
        </w:tc>
        <w:tc>
          <w:tcPr>
            <w:tcW w:type="dxa" w:w="1944"/>
            <w:vAlign w:val="center"/>
          </w:tcPr>
          <w:p>
            <w:pPr>
              <w:spacing w:after="20"/>
            </w:pPr>
            <w:r/>
            <w:r>
              <w:rPr>
                <w:rFonts w:ascii="Aptos" w:hAnsi="Aptos"/>
                <w:b w:val="0"/>
                <w:color w:val="1F2937"/>
                <w:sz w:val="17"/>
              </w:rPr>
              <w:t>UGX 5,000,000</w:t>
            </w:r>
          </w:p>
        </w:tc>
      </w:tr>
      <w:tr>
        <w:tc>
          <w:tcPr>
            <w:tcW w:type="dxa" w:w="1368"/>
            <w:vAlign w:val="center"/>
            <w:shd w:fill="F4F7FA"/>
          </w:tcPr>
          <w:p>
            <w:pPr>
              <w:spacing w:after="20"/>
            </w:pPr>
            <w:r/>
            <w:r>
              <w:rPr>
                <w:rFonts w:ascii="Aptos" w:hAnsi="Aptos"/>
                <w:b w:val="0"/>
                <w:color w:val="1F2937"/>
                <w:sz w:val="17"/>
              </w:rPr>
              <w:t>Growth</w:t>
            </w:r>
          </w:p>
        </w:tc>
        <w:tc>
          <w:tcPr>
            <w:tcW w:type="dxa" w:w="1296"/>
            <w:vAlign w:val="center"/>
            <w:shd w:fill="F4F7FA"/>
          </w:tcPr>
          <w:p>
            <w:pPr>
              <w:spacing w:after="20"/>
            </w:pPr>
            <w:r/>
            <w:r>
              <w:rPr>
                <w:rFonts w:ascii="Aptos" w:hAnsi="Aptos"/>
                <w:b w:val="0"/>
                <w:color w:val="1F2937"/>
                <w:sz w:val="17"/>
              </w:rPr>
              <w:t>Up to 500</w:t>
            </w:r>
          </w:p>
        </w:tc>
        <w:tc>
          <w:tcPr>
            <w:tcW w:type="dxa" w:w="1296"/>
            <w:vAlign w:val="center"/>
            <w:shd w:fill="F4F7FA"/>
          </w:tcPr>
          <w:p>
            <w:pPr>
              <w:spacing w:after="20"/>
            </w:pPr>
            <w:r/>
            <w:r>
              <w:rPr>
                <w:rFonts w:ascii="Aptos" w:hAnsi="Aptos"/>
                <w:b w:val="0"/>
                <w:color w:val="1F2937"/>
                <w:sz w:val="17"/>
              </w:rPr>
              <w:t>UGX 50,000</w:t>
            </w:r>
          </w:p>
        </w:tc>
        <w:tc>
          <w:tcPr>
            <w:tcW w:type="dxa" w:w="1368"/>
            <w:vAlign w:val="center"/>
            <w:shd w:fill="F4F7FA"/>
          </w:tcPr>
          <w:p>
            <w:pPr>
              <w:spacing w:after="20"/>
            </w:pPr>
            <w:r/>
            <w:r>
              <w:rPr>
                <w:rFonts w:ascii="Aptos" w:hAnsi="Aptos"/>
                <w:b w:val="0"/>
                <w:color w:val="1F2937"/>
                <w:sz w:val="17"/>
              </w:rPr>
              <w:t>UGX 150,000</w:t>
            </w:r>
          </w:p>
        </w:tc>
        <w:tc>
          <w:tcPr>
            <w:tcW w:type="dxa" w:w="1368"/>
            <w:vAlign w:val="center"/>
            <w:shd w:fill="F4F7FA"/>
          </w:tcPr>
          <w:p>
            <w:pPr>
              <w:spacing w:after="20"/>
            </w:pPr>
            <w:r/>
            <w:r>
              <w:rPr>
                <w:rFonts w:ascii="Aptos" w:hAnsi="Aptos"/>
                <w:b w:val="0"/>
                <w:color w:val="1F2937"/>
                <w:sz w:val="17"/>
              </w:rPr>
              <w:t>UGX 1,500,000</w:t>
            </w:r>
          </w:p>
        </w:tc>
        <w:tc>
          <w:tcPr>
            <w:tcW w:type="dxa" w:w="1944"/>
            <w:vAlign w:val="center"/>
            <w:shd w:fill="F4F7FA"/>
          </w:tcPr>
          <w:p>
            <w:pPr>
              <w:spacing w:after="20"/>
            </w:pPr>
            <w:r/>
            <w:r>
              <w:rPr>
                <w:rFonts w:ascii="Aptos" w:hAnsi="Aptos"/>
                <w:b w:val="0"/>
                <w:color w:val="1F2937"/>
                <w:sz w:val="17"/>
              </w:rPr>
              <w:t>UGX 10,000,000</w:t>
            </w:r>
          </w:p>
        </w:tc>
      </w:tr>
      <w:tr>
        <w:tc>
          <w:tcPr>
            <w:tcW w:type="dxa" w:w="1368"/>
            <w:vAlign w:val="center"/>
          </w:tcPr>
          <w:p>
            <w:pPr>
              <w:spacing w:after="20"/>
            </w:pPr>
            <w:r/>
            <w:r>
              <w:rPr>
                <w:rFonts w:ascii="Aptos" w:hAnsi="Aptos"/>
                <w:b w:val="0"/>
                <w:color w:val="1F2937"/>
                <w:sz w:val="17"/>
              </w:rPr>
              <w:t>Professional</w:t>
            </w:r>
          </w:p>
        </w:tc>
        <w:tc>
          <w:tcPr>
            <w:tcW w:type="dxa" w:w="1296"/>
            <w:vAlign w:val="center"/>
          </w:tcPr>
          <w:p>
            <w:pPr>
              <w:spacing w:after="20"/>
            </w:pPr>
            <w:r/>
            <w:r>
              <w:rPr>
                <w:rFonts w:ascii="Aptos" w:hAnsi="Aptos"/>
                <w:b w:val="0"/>
                <w:color w:val="1F2937"/>
                <w:sz w:val="17"/>
              </w:rPr>
              <w:t>Up to 2,000</w:t>
            </w:r>
          </w:p>
        </w:tc>
        <w:tc>
          <w:tcPr>
            <w:tcW w:type="dxa" w:w="1296"/>
            <w:vAlign w:val="center"/>
          </w:tcPr>
          <w:p>
            <w:pPr>
              <w:spacing w:after="20"/>
            </w:pPr>
            <w:r/>
            <w:r>
              <w:rPr>
                <w:rFonts w:ascii="Aptos" w:hAnsi="Aptos"/>
                <w:b w:val="0"/>
                <w:color w:val="1F2937"/>
                <w:sz w:val="17"/>
              </w:rPr>
              <w:t>UGX 100,000</w:t>
            </w:r>
          </w:p>
        </w:tc>
        <w:tc>
          <w:tcPr>
            <w:tcW w:type="dxa" w:w="1368"/>
            <w:vAlign w:val="center"/>
          </w:tcPr>
          <w:p>
            <w:pPr>
              <w:spacing w:after="20"/>
            </w:pPr>
            <w:r/>
            <w:r>
              <w:rPr>
                <w:rFonts w:ascii="Aptos" w:hAnsi="Aptos"/>
                <w:b w:val="0"/>
                <w:color w:val="1F2937"/>
                <w:sz w:val="17"/>
              </w:rPr>
              <w:t>UGX 300,000</w:t>
            </w:r>
          </w:p>
        </w:tc>
        <w:tc>
          <w:tcPr>
            <w:tcW w:type="dxa" w:w="1368"/>
            <w:vAlign w:val="center"/>
          </w:tcPr>
          <w:p>
            <w:pPr>
              <w:spacing w:after="20"/>
            </w:pPr>
            <w:r/>
            <w:r>
              <w:rPr>
                <w:rFonts w:ascii="Aptos" w:hAnsi="Aptos"/>
                <w:b w:val="0"/>
                <w:color w:val="1F2937"/>
                <w:sz w:val="17"/>
              </w:rPr>
              <w:t>UGX 3,000,000</w:t>
            </w:r>
          </w:p>
        </w:tc>
        <w:tc>
          <w:tcPr>
            <w:tcW w:type="dxa" w:w="1944"/>
            <w:vAlign w:val="center"/>
          </w:tcPr>
          <w:p>
            <w:pPr>
              <w:spacing w:after="20"/>
            </w:pPr>
            <w:r/>
            <w:r>
              <w:rPr>
                <w:rFonts w:ascii="Aptos" w:hAnsi="Aptos"/>
                <w:b w:val="0"/>
                <w:color w:val="1F2937"/>
                <w:sz w:val="17"/>
              </w:rPr>
              <w:t>UGX 20,000,000</w:t>
            </w:r>
          </w:p>
        </w:tc>
      </w:tr>
    </w:tbl>
    <w:p/>
    <w:p>
      <w:pPr>
        <w:pStyle w:val="Heading2"/>
        <w:keepNext/>
      </w:pPr>
      <w:r>
        <w:t>Trial and plan rules</w:t>
      </w:r>
    </w:p>
    <w:p>
      <w:pPr>
        <w:pStyle w:val="ListBullet"/>
        <w:spacing w:after="40"/>
      </w:pPr>
      <w:r>
        <w:t>Consider a 30-day trial with a clear member limit and either sample data or a test environment.</w:t>
      </w:r>
    </w:p>
    <w:p>
      <w:pPr>
        <w:pStyle w:val="ListBullet"/>
        <w:spacing w:after="40"/>
      </w:pPr>
      <w:r>
        <w:t>Trial registration should not require payment; show the trial end date and conversion options clearly.</w:t>
      </w:r>
    </w:p>
    <w:p>
      <w:pPr>
        <w:pStyle w:val="ListBullet"/>
        <w:spacing w:after="40"/>
      </w:pPr>
      <w:r>
        <w:t>Yearly billing may be priced at the equivalent of ten monthly payments in this proposal; test whether that discount is sustainable.</w:t>
      </w:r>
    </w:p>
    <w:p>
      <w:pPr>
        <w:pStyle w:val="ListBullet"/>
        <w:spacing w:after="40"/>
      </w:pPr>
      <w:r>
        <w:t>Lifetime access is risky for a hosted product because infrastructure, maintenance and support continue indefinitely. If offered, cap the number of founder licenses and define feature, member, support and third-party-service terms.</w:t>
      </w:r>
    </w:p>
    <w:p>
      <w:pPr>
        <w:pStyle w:val="ListBullet"/>
        <w:spacing w:after="40"/>
      </w:pPr>
      <w:r>
        <w:t>Consider usage-based or separately billed SMS, OTP, WhatsApp and payment-provider charges.</w:t>
      </w:r>
    </w:p>
    <w:p>
      <w:pPr>
        <w:pStyle w:val="ListBullet"/>
        <w:spacing w:after="40"/>
      </w:pPr>
      <w:r>
        <w:t>Show all fees, renewal dates, taxes where applicable, cancellation terms and consequences of expired subscriptions before checkout.</w:t>
      </w:r>
    </w:p>
    <w:p>
      <w:pPr>
        <w:pStyle w:val="Heading1"/>
        <w:keepNext/>
      </w:pPr>
      <w:r>
        <w:t>9. Subscription-to-Registration User Journey</w:t>
      </w:r>
    </w:p>
    <w:p>
      <w:pPr>
        <w:pStyle w:val="ListNumber"/>
        <w:spacing w:after="60"/>
      </w:pPr>
      <w:r>
        <w:t>Visitor opens the public landing page and reviews features, pricing, FAQs and security information.</w:t>
      </w:r>
    </w:p>
    <w:p>
      <w:pPr>
        <w:pStyle w:val="ListNumber"/>
        <w:spacing w:after="60"/>
      </w:pPr>
      <w:r>
        <w:t>Visitor selects a plan and billing period.</w:t>
      </w:r>
    </w:p>
    <w:p>
      <w:pPr>
        <w:pStyle w:val="ListNumber"/>
        <w:spacing w:after="60"/>
      </w:pPr>
      <w:r>
        <w:t>Paid-plan customer proceeds to a supported checkout; trial user proceeds directly to trial registration.</w:t>
      </w:r>
    </w:p>
    <w:p>
      <w:pPr>
        <w:pStyle w:val="ListNumber"/>
        <w:spacing w:after="60"/>
      </w:pPr>
      <w:r>
        <w:t>For a paid plan, the server verifies the payment result before activating a paid subscription.</w:t>
      </w:r>
    </w:p>
    <w:p>
      <w:pPr>
        <w:pStyle w:val="ListNumber"/>
        <w:spacing w:after="60"/>
      </w:pPr>
      <w:r>
        <w:t>The SACCO registration form opens as the next full-page step. On phones, avoid relying on a small browser popup.</w:t>
      </w:r>
    </w:p>
    <w:p>
      <w:pPr>
        <w:pStyle w:val="ListNumber"/>
        <w:spacing w:after="60"/>
      </w:pPr>
      <w:r>
        <w:t>The first administrator enters organization details, contact information, credentials and acceptance of applicable terms.</w:t>
      </w:r>
    </w:p>
    <w:p>
      <w:pPr>
        <w:pStyle w:val="ListNumber"/>
        <w:spacing w:after="60"/>
      </w:pPr>
      <w:r>
        <w:t>The system creates a tenant/workspace, records subscription status and guides the administrator through setup.</w:t>
      </w:r>
    </w:p>
    <w:p>
      <w:pPr>
        <w:pStyle w:val="ListNumber"/>
        <w:spacing w:after="60"/>
      </w:pPr>
      <w:r>
        <w:t>The SACCO configures products, imports validated member data, invites staff and members, and completes readiness checks.</w:t>
      </w:r>
    </w:p>
    <w:tbl>
      <w:tblPr>
        <w:tblStyle w:val="TableGrid"/>
        <w:tblW w:type="auto" w:w="0"/>
        <w:tblLook w:firstColumn="1" w:firstRow="1" w:lastColumn="0" w:lastRow="0" w:noHBand="0" w:noVBand="1" w:val="04A0"/>
      </w:tblPr>
      <w:tblGrid>
        <w:gridCol w:w="9994"/>
      </w:tblGrid>
      <w:tr>
        <w:tc>
          <w:tcPr>
            <w:tcW w:type="dxa" w:w="9994"/>
            <w:shd w:fill="EAF3FB"/>
          </w:tcPr>
          <w:p>
            <w:pPr>
              <w:spacing w:after="60"/>
            </w:pPr>
            <w:r/>
            <w:r>
              <w:rPr>
                <w:b/>
                <w:color w:val="123B66"/>
                <w:sz w:val="20"/>
              </w:rPr>
              <w:t>PAYMENT SAFETY</w:t>
              <w:br/>
            </w:r>
            <w:r>
              <w:rPr>
                <w:sz w:val="19"/>
              </w:rPr>
              <w:t>Never activate a paid subscription based only on a browser redirect or button click. Verify provider callbacks on the server, use unique references, protect against duplicate events, and allow users to resume incomplete registration safely.</w:t>
            </w:r>
          </w:p>
        </w:tc>
      </w:tr>
    </w:tbl>
    <w:p/>
    <w:p>
      <w:pPr>
        <w:pStyle w:val="Heading1"/>
        <w:keepNext/>
      </w:pPr>
      <w:r>
        <w:t>10. Recommended Technical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23B66"/>
          </w:tcPr>
          <w:p>
            <w:pPr>
              <w:spacing w:after="20"/>
            </w:pPr>
            <w:r/>
            <w:r>
              <w:rPr>
                <w:rFonts w:ascii="Aptos" w:hAnsi="Aptos"/>
                <w:b/>
                <w:color w:val="FFFFFF"/>
                <w:sz w:val="18"/>
              </w:rPr>
              <w:t>Layer</w:t>
            </w:r>
          </w:p>
        </w:tc>
        <w:tc>
          <w:tcPr>
            <w:tcW w:type="dxa" w:w="3096"/>
            <w:vAlign w:val="center"/>
            <w:shd w:fill="123B66"/>
          </w:tcPr>
          <w:p>
            <w:pPr>
              <w:spacing w:after="20"/>
            </w:pPr>
            <w:r/>
            <w:r>
              <w:rPr>
                <w:rFonts w:ascii="Aptos" w:hAnsi="Aptos"/>
                <w:b/>
                <w:color w:val="FFFFFF"/>
                <w:sz w:val="18"/>
              </w:rPr>
              <w:t>Recommendation</w:t>
            </w:r>
          </w:p>
        </w:tc>
        <w:tc>
          <w:tcPr>
            <w:tcW w:type="dxa" w:w="4896"/>
            <w:vAlign w:val="center"/>
            <w:shd w:fill="123B66"/>
          </w:tcPr>
          <w:p>
            <w:pPr>
              <w:spacing w:after="20"/>
            </w:pPr>
            <w:r/>
            <w:r>
              <w:rPr>
                <w:rFonts w:ascii="Aptos" w:hAnsi="Aptos"/>
                <w:b/>
                <w:color w:val="FFFFFF"/>
                <w:sz w:val="18"/>
              </w:rPr>
              <w:t>Key considerations</w:t>
            </w:r>
          </w:p>
        </w:tc>
      </w:tr>
      <w:tr>
        <w:tc>
          <w:tcPr>
            <w:tcW w:type="dxa" w:w="1800"/>
            <w:vAlign w:val="center"/>
          </w:tcPr>
          <w:p>
            <w:pPr>
              <w:spacing w:after="20"/>
            </w:pPr>
            <w:r/>
            <w:r>
              <w:rPr>
                <w:rFonts w:ascii="Aptos" w:hAnsi="Aptos"/>
                <w:b w:val="0"/>
                <w:color w:val="1F2937"/>
                <w:sz w:val="17"/>
              </w:rPr>
              <w:t>Frontend</w:t>
            </w:r>
          </w:p>
        </w:tc>
        <w:tc>
          <w:tcPr>
            <w:tcW w:type="dxa" w:w="3096"/>
            <w:vAlign w:val="center"/>
          </w:tcPr>
          <w:p>
            <w:pPr>
              <w:spacing w:after="20"/>
            </w:pPr>
            <w:r/>
            <w:r>
              <w:rPr>
                <w:rFonts w:ascii="Aptos" w:hAnsi="Aptos"/>
                <w:b w:val="0"/>
                <w:color w:val="1F2937"/>
                <w:sz w:val="17"/>
              </w:rPr>
              <w:t>React / Next.js with TypeScript</w:t>
            </w:r>
          </w:p>
        </w:tc>
        <w:tc>
          <w:tcPr>
            <w:tcW w:type="dxa" w:w="4896"/>
            <w:vAlign w:val="center"/>
          </w:tcPr>
          <w:p>
            <w:pPr>
              <w:spacing w:after="20"/>
            </w:pPr>
            <w:r/>
            <w:r>
              <w:rPr>
                <w:rFonts w:ascii="Aptos" w:hAnsi="Aptos"/>
                <w:b w:val="0"/>
                <w:color w:val="1F2937"/>
                <w:sz w:val="17"/>
              </w:rPr>
              <w:t>Responsive layouts; accessible forms; tested on Android, iPad/tablets and desktop browsers.</w:t>
            </w:r>
          </w:p>
        </w:tc>
      </w:tr>
      <w:tr>
        <w:tc>
          <w:tcPr>
            <w:tcW w:type="dxa" w:w="1800"/>
            <w:vAlign w:val="center"/>
            <w:shd w:fill="F4F7FA"/>
          </w:tcPr>
          <w:p>
            <w:pPr>
              <w:spacing w:after="20"/>
            </w:pPr>
            <w:r/>
            <w:r>
              <w:rPr>
                <w:rFonts w:ascii="Aptos" w:hAnsi="Aptos"/>
                <w:b w:val="0"/>
                <w:color w:val="1F2937"/>
                <w:sz w:val="17"/>
              </w:rPr>
              <w:t>Member access</w:t>
            </w:r>
          </w:p>
        </w:tc>
        <w:tc>
          <w:tcPr>
            <w:tcW w:type="dxa" w:w="3096"/>
            <w:vAlign w:val="center"/>
            <w:shd w:fill="F4F7FA"/>
          </w:tcPr>
          <w:p>
            <w:pPr>
              <w:spacing w:after="20"/>
            </w:pPr>
            <w:r/>
            <w:r>
              <w:rPr>
                <w:rFonts w:ascii="Aptos" w:hAnsi="Aptos"/>
                <w:b w:val="0"/>
                <w:color w:val="1F2937"/>
                <w:sz w:val="17"/>
              </w:rPr>
              <w:t>Installable Progressive Web App (PWA)</w:t>
            </w:r>
          </w:p>
        </w:tc>
        <w:tc>
          <w:tcPr>
            <w:tcW w:type="dxa" w:w="4896"/>
            <w:vAlign w:val="center"/>
            <w:shd w:fill="F4F7FA"/>
          </w:tcPr>
          <w:p>
            <w:pPr>
              <w:spacing w:after="20"/>
            </w:pPr>
            <w:r/>
            <w:r>
              <w:rPr>
                <w:rFonts w:ascii="Aptos" w:hAnsi="Aptos"/>
                <w:b w:val="0"/>
                <w:color w:val="1F2937"/>
                <w:sz w:val="17"/>
              </w:rPr>
              <w:t>App-like access without requiring separate native apps for the first release; push support varies by browser/device.</w:t>
            </w:r>
          </w:p>
        </w:tc>
      </w:tr>
      <w:tr>
        <w:tc>
          <w:tcPr>
            <w:tcW w:type="dxa" w:w="1800"/>
            <w:vAlign w:val="center"/>
          </w:tcPr>
          <w:p>
            <w:pPr>
              <w:spacing w:after="20"/>
            </w:pPr>
            <w:r/>
            <w:r>
              <w:rPr>
                <w:rFonts w:ascii="Aptos" w:hAnsi="Aptos"/>
                <w:b w:val="0"/>
                <w:color w:val="1F2937"/>
                <w:sz w:val="17"/>
              </w:rPr>
              <w:t>Database</w:t>
            </w:r>
          </w:p>
        </w:tc>
        <w:tc>
          <w:tcPr>
            <w:tcW w:type="dxa" w:w="3096"/>
            <w:vAlign w:val="center"/>
          </w:tcPr>
          <w:p>
            <w:pPr>
              <w:spacing w:after="20"/>
            </w:pPr>
            <w:r/>
            <w:r>
              <w:rPr>
                <w:rFonts w:ascii="Aptos" w:hAnsi="Aptos"/>
                <w:b w:val="0"/>
                <w:color w:val="1F2937"/>
                <w:sz w:val="17"/>
              </w:rPr>
              <w:t>PostgreSQL</w:t>
            </w:r>
          </w:p>
        </w:tc>
        <w:tc>
          <w:tcPr>
            <w:tcW w:type="dxa" w:w="4896"/>
            <w:vAlign w:val="center"/>
          </w:tcPr>
          <w:p>
            <w:pPr>
              <w:spacing w:after="20"/>
            </w:pPr>
            <w:r/>
            <w:r>
              <w:rPr>
                <w:rFonts w:ascii="Aptos" w:hAnsi="Aptos"/>
                <w:b w:val="0"/>
                <w:color w:val="1F2937"/>
                <w:sz w:val="17"/>
              </w:rPr>
              <w:t>Tenant-scoped data model, least privilege, row-level security where appropriate and tested migration strategy.</w:t>
            </w:r>
          </w:p>
        </w:tc>
      </w:tr>
      <w:tr>
        <w:tc>
          <w:tcPr>
            <w:tcW w:type="dxa" w:w="1800"/>
            <w:vAlign w:val="center"/>
            <w:shd w:fill="F4F7FA"/>
          </w:tcPr>
          <w:p>
            <w:pPr>
              <w:spacing w:after="20"/>
            </w:pPr>
            <w:r/>
            <w:r>
              <w:rPr>
                <w:rFonts w:ascii="Aptos" w:hAnsi="Aptos"/>
                <w:b w:val="0"/>
                <w:color w:val="1F2937"/>
                <w:sz w:val="17"/>
              </w:rPr>
              <w:t>Authentication</w:t>
            </w:r>
          </w:p>
        </w:tc>
        <w:tc>
          <w:tcPr>
            <w:tcW w:type="dxa" w:w="3096"/>
            <w:vAlign w:val="center"/>
            <w:shd w:fill="F4F7FA"/>
          </w:tcPr>
          <w:p>
            <w:pPr>
              <w:spacing w:after="20"/>
            </w:pPr>
            <w:r/>
            <w:r>
              <w:rPr>
                <w:rFonts w:ascii="Aptos" w:hAnsi="Aptos"/>
                <w:b w:val="0"/>
                <w:color w:val="1F2937"/>
                <w:sz w:val="17"/>
              </w:rPr>
              <w:t>Managed or well-reviewed authentication service</w:t>
            </w:r>
          </w:p>
        </w:tc>
        <w:tc>
          <w:tcPr>
            <w:tcW w:type="dxa" w:w="4896"/>
            <w:vAlign w:val="center"/>
            <w:shd w:fill="F4F7FA"/>
          </w:tcPr>
          <w:p>
            <w:pPr>
              <w:spacing w:after="20"/>
            </w:pPr>
            <w:r/>
            <w:r>
              <w:rPr>
                <w:rFonts w:ascii="Aptos" w:hAnsi="Aptos"/>
                <w:b w:val="0"/>
                <w:color w:val="1F2937"/>
                <w:sz w:val="17"/>
              </w:rPr>
              <w:t>Secure sessions, password reset, verified email/phone and stronger authentication for privileged roles.</w:t>
            </w:r>
          </w:p>
        </w:tc>
      </w:tr>
      <w:tr>
        <w:tc>
          <w:tcPr>
            <w:tcW w:type="dxa" w:w="1800"/>
            <w:vAlign w:val="center"/>
          </w:tcPr>
          <w:p>
            <w:pPr>
              <w:spacing w:after="20"/>
            </w:pPr>
            <w:r/>
            <w:r>
              <w:rPr>
                <w:rFonts w:ascii="Aptos" w:hAnsi="Aptos"/>
                <w:b w:val="0"/>
                <w:color w:val="1F2937"/>
                <w:sz w:val="17"/>
              </w:rPr>
              <w:t>Background jobs</w:t>
            </w:r>
          </w:p>
        </w:tc>
        <w:tc>
          <w:tcPr>
            <w:tcW w:type="dxa" w:w="3096"/>
            <w:vAlign w:val="center"/>
          </w:tcPr>
          <w:p>
            <w:pPr>
              <w:spacing w:after="20"/>
            </w:pPr>
            <w:r/>
            <w:r>
              <w:rPr>
                <w:rFonts w:ascii="Aptos" w:hAnsi="Aptos"/>
                <w:b w:val="0"/>
                <w:color w:val="1F2937"/>
                <w:sz w:val="17"/>
              </w:rPr>
              <w:t>Reliable queue and worker processes</w:t>
            </w:r>
          </w:p>
        </w:tc>
        <w:tc>
          <w:tcPr>
            <w:tcW w:type="dxa" w:w="4896"/>
            <w:vAlign w:val="center"/>
          </w:tcPr>
          <w:p>
            <w:pPr>
              <w:spacing w:after="20"/>
            </w:pPr>
            <w:r/>
            <w:r>
              <w:rPr>
                <w:rFonts w:ascii="Aptos" w:hAnsi="Aptos"/>
                <w:b w:val="0"/>
                <w:color w:val="1F2937"/>
                <w:sz w:val="17"/>
              </w:rPr>
              <w:t>Notifications, reminders, imports, scheduled reports and retry handling.</w:t>
            </w:r>
          </w:p>
        </w:tc>
      </w:tr>
      <w:tr>
        <w:tc>
          <w:tcPr>
            <w:tcW w:type="dxa" w:w="1800"/>
            <w:vAlign w:val="center"/>
            <w:shd w:fill="F4F7FA"/>
          </w:tcPr>
          <w:p>
            <w:pPr>
              <w:spacing w:after="20"/>
            </w:pPr>
            <w:r/>
            <w:r>
              <w:rPr>
                <w:rFonts w:ascii="Aptos" w:hAnsi="Aptos"/>
                <w:b w:val="0"/>
                <w:color w:val="1F2937"/>
                <w:sz w:val="17"/>
              </w:rPr>
              <w:t>Hosting</w:t>
            </w:r>
          </w:p>
        </w:tc>
        <w:tc>
          <w:tcPr>
            <w:tcW w:type="dxa" w:w="3096"/>
            <w:vAlign w:val="center"/>
            <w:shd w:fill="F4F7FA"/>
          </w:tcPr>
          <w:p>
            <w:pPr>
              <w:spacing w:after="20"/>
            </w:pPr>
            <w:r/>
            <w:r>
              <w:rPr>
                <w:rFonts w:ascii="Aptos" w:hAnsi="Aptos"/>
                <w:b w:val="0"/>
                <w:color w:val="1F2937"/>
                <w:sz w:val="17"/>
              </w:rPr>
              <w:t>Managed cloud application and database hosting</w:t>
            </w:r>
          </w:p>
        </w:tc>
        <w:tc>
          <w:tcPr>
            <w:tcW w:type="dxa" w:w="4896"/>
            <w:vAlign w:val="center"/>
            <w:shd w:fill="F4F7FA"/>
          </w:tcPr>
          <w:p>
            <w:pPr>
              <w:spacing w:after="20"/>
            </w:pPr>
            <w:r/>
            <w:r>
              <w:rPr>
                <w:rFonts w:ascii="Aptos" w:hAnsi="Aptos"/>
                <w:b w:val="0"/>
                <w:color w:val="1F2937"/>
                <w:sz w:val="17"/>
              </w:rPr>
              <w:t>Monitoring, backups, recovery drills, secrets management and environment separation.</w:t>
            </w:r>
          </w:p>
        </w:tc>
      </w:tr>
      <w:tr>
        <w:tc>
          <w:tcPr>
            <w:tcW w:type="dxa" w:w="1800"/>
            <w:vAlign w:val="center"/>
          </w:tcPr>
          <w:p>
            <w:pPr>
              <w:spacing w:after="20"/>
            </w:pPr>
            <w:r/>
            <w:r>
              <w:rPr>
                <w:rFonts w:ascii="Aptos" w:hAnsi="Aptos"/>
                <w:b w:val="0"/>
                <w:color w:val="1F2937"/>
                <w:sz w:val="17"/>
              </w:rPr>
              <w:t>Payments</w:t>
            </w:r>
          </w:p>
        </w:tc>
        <w:tc>
          <w:tcPr>
            <w:tcW w:type="dxa" w:w="3096"/>
            <w:vAlign w:val="center"/>
          </w:tcPr>
          <w:p>
            <w:pPr>
              <w:spacing w:after="20"/>
            </w:pPr>
            <w:r/>
            <w:r>
              <w:rPr>
                <w:rFonts w:ascii="Aptos" w:hAnsi="Aptos"/>
                <w:b w:val="0"/>
                <w:color w:val="1F2937"/>
                <w:sz w:val="17"/>
              </w:rPr>
              <w:t>Provider checkout and server-verified webhooks</w:t>
            </w:r>
          </w:p>
        </w:tc>
        <w:tc>
          <w:tcPr>
            <w:tcW w:type="dxa" w:w="4896"/>
            <w:vAlign w:val="center"/>
          </w:tcPr>
          <w:p>
            <w:pPr>
              <w:spacing w:after="20"/>
            </w:pPr>
            <w:r/>
            <w:r>
              <w:rPr>
                <w:rFonts w:ascii="Aptos" w:hAnsi="Aptos"/>
                <w:b w:val="0"/>
                <w:color w:val="1F2937"/>
                <w:sz w:val="17"/>
              </w:rPr>
              <w:t>Separate SaaS billing from SACCO member payments.</w:t>
            </w:r>
          </w:p>
        </w:tc>
      </w:tr>
      <w:tr>
        <w:tc>
          <w:tcPr>
            <w:tcW w:type="dxa" w:w="1800"/>
            <w:vAlign w:val="center"/>
            <w:shd w:fill="F4F7FA"/>
          </w:tcPr>
          <w:p>
            <w:pPr>
              <w:spacing w:after="20"/>
            </w:pPr>
            <w:r/>
            <w:r>
              <w:rPr>
                <w:rFonts w:ascii="Aptos" w:hAnsi="Aptos"/>
                <w:b w:val="0"/>
                <w:color w:val="1F2937"/>
                <w:sz w:val="17"/>
              </w:rPr>
              <w:t>Messaging</w:t>
            </w:r>
          </w:p>
        </w:tc>
        <w:tc>
          <w:tcPr>
            <w:tcW w:type="dxa" w:w="3096"/>
            <w:vAlign w:val="center"/>
            <w:shd w:fill="F4F7FA"/>
          </w:tcPr>
          <w:p>
            <w:pPr>
              <w:spacing w:after="20"/>
            </w:pPr>
            <w:r/>
            <w:r>
              <w:rPr>
                <w:rFonts w:ascii="Aptos" w:hAnsi="Aptos"/>
                <w:b w:val="0"/>
                <w:color w:val="1F2937"/>
                <w:sz w:val="17"/>
              </w:rPr>
              <w:t>In-app first; optional web push, SMS and email</w:t>
            </w:r>
          </w:p>
        </w:tc>
        <w:tc>
          <w:tcPr>
            <w:tcW w:type="dxa" w:w="4896"/>
            <w:vAlign w:val="center"/>
            <w:shd w:fill="F4F7FA"/>
          </w:tcPr>
          <w:p>
            <w:pPr>
              <w:spacing w:after="20"/>
            </w:pPr>
            <w:r/>
            <w:r>
              <w:rPr>
                <w:rFonts w:ascii="Aptos" w:hAnsi="Aptos"/>
                <w:b w:val="0"/>
                <w:color w:val="1F2937"/>
                <w:sz w:val="17"/>
              </w:rPr>
              <w:t>Consent/preferences, delivery logs, retries and per-channel cost controls.</w:t>
            </w:r>
          </w:p>
        </w:tc>
      </w:tr>
    </w:tbl>
    <w:p/>
    <w:p>
      <w:pPr>
        <w:pStyle w:val="Heading2"/>
        <w:keepNext/>
      </w:pPr>
      <w:r>
        <w:t>Multi-tenant isolation</w:t>
      </w:r>
    </w:p>
    <w:p>
      <w:r>
        <w:t>All tenant-owned records must be linked to a tenant/SACCO identifier. Authorization must be enforced on the server and at the database boundary where possible. Do not rely on frontend hiding alone. A user from SACCO A must not be able to read, modify, export or infer SACCO B's records.</w:t>
      </w:r>
    </w:p>
    <w:p>
      <w:pPr>
        <w:pStyle w:val="ListBullet"/>
        <w:spacing w:after="40"/>
      </w:pPr>
      <w:r>
        <w:t>Test tenant isolation across every API, query, report, export, background job and file download.</w:t>
      </w:r>
    </w:p>
    <w:p>
      <w:pPr>
        <w:pStyle w:val="ListBullet"/>
        <w:spacing w:after="40"/>
      </w:pPr>
      <w:r>
        <w:t>Use separate development, staging and production environments.</w:t>
      </w:r>
    </w:p>
    <w:p>
      <w:pPr>
        <w:pStyle w:val="ListBullet"/>
        <w:spacing w:after="40"/>
      </w:pPr>
      <w:r>
        <w:t>Log privileged actions and support access.</w:t>
      </w:r>
    </w:p>
    <w:p>
      <w:pPr>
        <w:pStyle w:val="ListBullet"/>
        <w:spacing w:after="40"/>
      </w:pPr>
      <w:r>
        <w:t>Encrypt data in transit and at rest, restrict secrets, monitor failures and test backup restoration.</w:t>
      </w:r>
    </w:p>
    <w:p>
      <w:pPr>
        <w:pStyle w:val="ListBullet"/>
        <w:spacing w:after="40"/>
      </w:pPr>
      <w:r>
        <w:t>Document data ownership, retention, export, termination and deletion processes in customer agreements.</w:t>
      </w:r>
    </w:p>
    <w:p>
      <w:pPr>
        <w:pStyle w:val="Heading1"/>
        <w:keepNext/>
      </w:pPr>
      <w:r>
        <w:t>11. Member Notifications</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23B66"/>
          </w:tcPr>
          <w:p>
            <w:pPr>
              <w:spacing w:after="20"/>
            </w:pPr>
            <w:r/>
            <w:r>
              <w:rPr>
                <w:rFonts w:ascii="Aptos" w:hAnsi="Aptos"/>
                <w:b/>
                <w:color w:val="FFFFFF"/>
                <w:sz w:val="18"/>
              </w:rPr>
              <w:t>Event</w:t>
            </w:r>
          </w:p>
        </w:tc>
        <w:tc>
          <w:tcPr>
            <w:tcW w:type="dxa" w:w="7560"/>
            <w:vAlign w:val="center"/>
            <w:shd w:fill="123B66"/>
          </w:tcPr>
          <w:p>
            <w:pPr>
              <w:spacing w:after="20"/>
            </w:pPr>
            <w:r/>
            <w:r>
              <w:rPr>
                <w:rFonts w:ascii="Aptos" w:hAnsi="Aptos"/>
                <w:b/>
                <w:color w:val="FFFFFF"/>
                <w:sz w:val="18"/>
              </w:rPr>
              <w:t>Suggested in-app notification</w:t>
            </w:r>
          </w:p>
        </w:tc>
      </w:tr>
      <w:tr>
        <w:tc>
          <w:tcPr>
            <w:tcW w:type="dxa" w:w="2232"/>
            <w:vAlign w:val="center"/>
          </w:tcPr>
          <w:p>
            <w:pPr>
              <w:spacing w:after="20"/>
            </w:pPr>
            <w:r/>
            <w:r>
              <w:rPr>
                <w:rFonts w:ascii="Aptos" w:hAnsi="Aptos"/>
                <w:b w:val="0"/>
                <w:color w:val="1F2937"/>
                <w:sz w:val="17"/>
              </w:rPr>
              <w:t>Deposit posted</w:t>
            </w:r>
          </w:p>
        </w:tc>
        <w:tc>
          <w:tcPr>
            <w:tcW w:type="dxa" w:w="7560"/>
            <w:vAlign w:val="center"/>
          </w:tcPr>
          <w:p>
            <w:pPr>
              <w:spacing w:after="20"/>
            </w:pPr>
            <w:r/>
            <w:r>
              <w:rPr>
                <w:rFonts w:ascii="Aptos" w:hAnsi="Aptos"/>
                <w:b w:val="0"/>
                <w:color w:val="1F2937"/>
                <w:sz w:val="17"/>
              </w:rPr>
              <w:t>Your deposit has been recorded. View the transaction receipt and updated statement.</w:t>
            </w:r>
          </w:p>
        </w:tc>
      </w:tr>
      <w:tr>
        <w:tc>
          <w:tcPr>
            <w:tcW w:type="dxa" w:w="2232"/>
            <w:vAlign w:val="center"/>
            <w:shd w:fill="F4F7FA"/>
          </w:tcPr>
          <w:p>
            <w:pPr>
              <w:spacing w:after="20"/>
            </w:pPr>
            <w:r/>
            <w:r>
              <w:rPr>
                <w:rFonts w:ascii="Aptos" w:hAnsi="Aptos"/>
                <w:b w:val="0"/>
                <w:color w:val="1F2937"/>
                <w:sz w:val="17"/>
              </w:rPr>
              <w:t>Withdrawal status</w:t>
            </w:r>
          </w:p>
        </w:tc>
        <w:tc>
          <w:tcPr>
            <w:tcW w:type="dxa" w:w="7560"/>
            <w:vAlign w:val="center"/>
            <w:shd w:fill="F4F7FA"/>
          </w:tcPr>
          <w:p>
            <w:pPr>
              <w:spacing w:after="20"/>
            </w:pPr>
            <w:r/>
            <w:r>
              <w:rPr>
                <w:rFonts w:ascii="Aptos" w:hAnsi="Aptos"/>
                <w:b w:val="0"/>
                <w:color w:val="1F2937"/>
                <w:sz w:val="17"/>
              </w:rPr>
              <w:t>Your withdrawal request has been received, approved, rejected or completed.</w:t>
            </w:r>
          </w:p>
        </w:tc>
      </w:tr>
      <w:tr>
        <w:tc>
          <w:tcPr>
            <w:tcW w:type="dxa" w:w="2232"/>
            <w:vAlign w:val="center"/>
          </w:tcPr>
          <w:p>
            <w:pPr>
              <w:spacing w:after="20"/>
            </w:pPr>
            <w:r/>
            <w:r>
              <w:rPr>
                <w:rFonts w:ascii="Aptos" w:hAnsi="Aptos"/>
                <w:b w:val="0"/>
                <w:color w:val="1F2937"/>
                <w:sz w:val="17"/>
              </w:rPr>
              <w:t>Loan application</w:t>
            </w:r>
          </w:p>
        </w:tc>
        <w:tc>
          <w:tcPr>
            <w:tcW w:type="dxa" w:w="7560"/>
            <w:vAlign w:val="center"/>
          </w:tcPr>
          <w:p>
            <w:pPr>
              <w:spacing w:after="20"/>
            </w:pPr>
            <w:r/>
            <w:r>
              <w:rPr>
                <w:rFonts w:ascii="Aptos" w:hAnsi="Aptos"/>
                <w:b w:val="0"/>
                <w:color w:val="1F2937"/>
                <w:sz w:val="17"/>
              </w:rPr>
              <w:t>Your application was submitted; more information is required; or a decision was recorded.</w:t>
            </w:r>
          </w:p>
        </w:tc>
      </w:tr>
      <w:tr>
        <w:tc>
          <w:tcPr>
            <w:tcW w:type="dxa" w:w="2232"/>
            <w:vAlign w:val="center"/>
            <w:shd w:fill="F4F7FA"/>
          </w:tcPr>
          <w:p>
            <w:pPr>
              <w:spacing w:after="20"/>
            </w:pPr>
            <w:r/>
            <w:r>
              <w:rPr>
                <w:rFonts w:ascii="Aptos" w:hAnsi="Aptos"/>
                <w:b w:val="0"/>
                <w:color w:val="1F2937"/>
                <w:sz w:val="17"/>
              </w:rPr>
              <w:t>Loan disbursement</w:t>
            </w:r>
          </w:p>
        </w:tc>
        <w:tc>
          <w:tcPr>
            <w:tcW w:type="dxa" w:w="7560"/>
            <w:vAlign w:val="center"/>
            <w:shd w:fill="F4F7FA"/>
          </w:tcPr>
          <w:p>
            <w:pPr>
              <w:spacing w:after="20"/>
            </w:pPr>
            <w:r/>
            <w:r>
              <w:rPr>
                <w:rFonts w:ascii="Aptos" w:hAnsi="Aptos"/>
                <w:b w:val="0"/>
                <w:color w:val="1F2937"/>
                <w:sz w:val="17"/>
              </w:rPr>
              <w:t>Your loan disbursement was recorded. View your repayment schedule.</w:t>
            </w:r>
          </w:p>
        </w:tc>
      </w:tr>
      <w:tr>
        <w:tc>
          <w:tcPr>
            <w:tcW w:type="dxa" w:w="2232"/>
            <w:vAlign w:val="center"/>
          </w:tcPr>
          <w:p>
            <w:pPr>
              <w:spacing w:after="20"/>
            </w:pPr>
            <w:r/>
            <w:r>
              <w:rPr>
                <w:rFonts w:ascii="Aptos" w:hAnsi="Aptos"/>
                <w:b w:val="0"/>
                <w:color w:val="1F2937"/>
                <w:sz w:val="17"/>
              </w:rPr>
              <w:t>Repayment reminder</w:t>
            </w:r>
          </w:p>
        </w:tc>
        <w:tc>
          <w:tcPr>
            <w:tcW w:type="dxa" w:w="7560"/>
            <w:vAlign w:val="center"/>
          </w:tcPr>
          <w:p>
            <w:pPr>
              <w:spacing w:after="20"/>
            </w:pPr>
            <w:r/>
            <w:r>
              <w:rPr>
                <w:rFonts w:ascii="Aptos" w:hAnsi="Aptos"/>
                <w:b w:val="0"/>
                <w:color w:val="1F2937"/>
                <w:sz w:val="17"/>
              </w:rPr>
              <w:t>A repayment is due on the date shown in your loan schedule.</w:t>
            </w:r>
          </w:p>
        </w:tc>
      </w:tr>
      <w:tr>
        <w:tc>
          <w:tcPr>
            <w:tcW w:type="dxa" w:w="2232"/>
            <w:vAlign w:val="center"/>
            <w:shd w:fill="F4F7FA"/>
          </w:tcPr>
          <w:p>
            <w:pPr>
              <w:spacing w:after="20"/>
            </w:pPr>
            <w:r/>
            <w:r>
              <w:rPr>
                <w:rFonts w:ascii="Aptos" w:hAnsi="Aptos"/>
                <w:b w:val="0"/>
                <w:color w:val="1F2937"/>
                <w:sz w:val="17"/>
              </w:rPr>
              <w:t>Repayment posted</w:t>
            </w:r>
          </w:p>
        </w:tc>
        <w:tc>
          <w:tcPr>
            <w:tcW w:type="dxa" w:w="7560"/>
            <w:vAlign w:val="center"/>
            <w:shd w:fill="F4F7FA"/>
          </w:tcPr>
          <w:p>
            <w:pPr>
              <w:spacing w:after="20"/>
            </w:pPr>
            <w:r/>
            <w:r>
              <w:rPr>
                <w:rFonts w:ascii="Aptos" w:hAnsi="Aptos"/>
                <w:b w:val="0"/>
                <w:color w:val="1F2937"/>
                <w:sz w:val="17"/>
              </w:rPr>
              <w:t>Your repayment has been recorded against the relevant loan.</w:t>
            </w:r>
          </w:p>
        </w:tc>
      </w:tr>
      <w:tr>
        <w:tc>
          <w:tcPr>
            <w:tcW w:type="dxa" w:w="2232"/>
            <w:vAlign w:val="center"/>
          </w:tcPr>
          <w:p>
            <w:pPr>
              <w:spacing w:after="20"/>
            </w:pPr>
            <w:r/>
            <w:r>
              <w:rPr>
                <w:rFonts w:ascii="Aptos" w:hAnsi="Aptos"/>
                <w:b w:val="0"/>
                <w:color w:val="1F2937"/>
                <w:sz w:val="17"/>
              </w:rPr>
              <w:t>Security event</w:t>
            </w:r>
          </w:p>
        </w:tc>
        <w:tc>
          <w:tcPr>
            <w:tcW w:type="dxa" w:w="7560"/>
            <w:vAlign w:val="center"/>
          </w:tcPr>
          <w:p>
            <w:pPr>
              <w:spacing w:after="20"/>
            </w:pPr>
            <w:r/>
            <w:r>
              <w:rPr>
                <w:rFonts w:ascii="Aptos" w:hAnsi="Aptos"/>
                <w:b w:val="0"/>
                <w:color w:val="1F2937"/>
                <w:sz w:val="17"/>
              </w:rPr>
              <w:t>Your password or account security settings were changed, or a sign-in needs review.</w:t>
            </w:r>
          </w:p>
        </w:tc>
      </w:tr>
    </w:tbl>
    <w:p/>
    <w:p>
      <w:r>
        <w:t>Store each notification with the relevant tenant and member, timestamp, event reference, delivery status and read/unread state. In-app notifications should be available inside the member portal. Web push requires supported browsers and permission; SMS/email may incur additional costs. Avoid exposing full account details or sensitive information in lock-screen previews.</w:t>
      </w:r>
    </w:p>
    <w:p>
      <w:pPr>
        <w:pStyle w:val="Heading1"/>
        <w:keepNext/>
      </w:pPr>
      <w:r>
        <w:t>12. Security, Privacy and Regulatory Readiness</w:t>
      </w:r>
    </w:p>
    <w:p>
      <w:pPr>
        <w:pStyle w:val="ListBullet"/>
        <w:spacing w:after="40"/>
      </w:pPr>
      <w:r>
        <w:t>Confirm applicable registration and obligations with Uganda's Personal Data Protection Office and qualified advisers.</w:t>
      </w:r>
    </w:p>
    <w:p>
      <w:pPr>
        <w:pStyle w:val="ListBullet"/>
        <w:spacing w:after="40"/>
      </w:pPr>
      <w:r>
        <w:t>Define controller/processor responsibilities and sign appropriate data-processing terms with SACCO customers.</w:t>
      </w:r>
    </w:p>
    <w:p>
      <w:pPr>
        <w:pStyle w:val="ListBullet"/>
        <w:spacing w:after="40"/>
      </w:pPr>
      <w:r>
        <w:t>Publish a privacy notice, terms of service, retention rules and incident-response procedure.</w:t>
      </w:r>
    </w:p>
    <w:p>
      <w:pPr>
        <w:pStyle w:val="ListBullet"/>
        <w:spacing w:after="40"/>
      </w:pPr>
      <w:r>
        <w:t>Use least-privilege role-based access, secure authentication and optional/required multifactor authentication for privileged accounts.</w:t>
      </w:r>
    </w:p>
    <w:p>
      <w:pPr>
        <w:pStyle w:val="ListBullet"/>
        <w:spacing w:after="40"/>
      </w:pPr>
      <w:r>
        <w:t>Keep immutable or tamper-evident audit records for important financial and administrative actions.</w:t>
      </w:r>
    </w:p>
    <w:p>
      <w:pPr>
        <w:pStyle w:val="ListBullet"/>
        <w:spacing w:after="40"/>
      </w:pPr>
      <w:r>
        <w:t>Use server-side validation, secure file uploads, rate limiting, session controls and protection against common web vulnerabilities.</w:t>
      </w:r>
    </w:p>
    <w:p>
      <w:pPr>
        <w:pStyle w:val="ListBullet"/>
        <w:spacing w:after="40"/>
      </w:pPr>
      <w:r>
        <w:t>Do not store payment-card details unless the appropriate certified payment architecture is in place.</w:t>
      </w:r>
    </w:p>
    <w:p>
      <w:pPr>
        <w:pStyle w:val="ListBullet"/>
        <w:spacing w:after="40"/>
      </w:pPr>
      <w:r>
        <w:t>Separate SaaS subscription billing from member savings, loan repayments, withdrawals and disbursements.</w:t>
      </w:r>
    </w:p>
    <w:p>
      <w:pPr>
        <w:pStyle w:val="ListBullet"/>
        <w:spacing w:after="40"/>
      </w:pPr>
      <w:r>
        <w:t>Before integrating money movement, confirm provider authorization, contracts, settlement handling and any applicable Bank of Uganda/payment-system requirements.</w:t>
      </w:r>
    </w:p>
    <w:p>
      <w:pPr>
        <w:pStyle w:val="ListBullet"/>
        <w:spacing w:after="40"/>
      </w:pPr>
      <w:r>
        <w:t>Have independent security testing and financial reconciliation testing completed before production use.</w:t>
      </w:r>
    </w:p>
    <w:tbl>
      <w:tblPr>
        <w:tblStyle w:val="TableGrid"/>
        <w:tblW w:type="auto" w:w="0"/>
        <w:tblLook w:firstColumn="1" w:firstRow="1" w:lastColumn="0" w:lastRow="0" w:noHBand="0" w:noVBand="1" w:val="04A0"/>
      </w:tblPr>
      <w:tblGrid>
        <w:gridCol w:w="9994"/>
      </w:tblGrid>
      <w:tr>
        <w:tc>
          <w:tcPr>
            <w:tcW w:type="dxa" w:w="9994"/>
            <w:shd w:fill="FFF4E5"/>
          </w:tcPr>
          <w:p>
            <w:pPr>
              <w:spacing w:after="60"/>
            </w:pPr>
            <w:r/>
            <w:r>
              <w:rPr>
                <w:b/>
                <w:color w:val="123B66"/>
                <w:sz w:val="20"/>
              </w:rPr>
              <w:t>IMPORTANT LIMIT</w:t>
              <w:br/>
            </w:r>
            <w:r>
              <w:rPr>
                <w:sz w:val="19"/>
              </w:rPr>
              <w:t>This blueprint is a product-planning document, not legal, accounting, regulatory or security certification. Requirements should be checked against current official guidance before implementation and launch.</w:t>
            </w:r>
          </w:p>
        </w:tc>
      </w:tr>
    </w:tbl>
    <w:p/>
    <w:p>
      <w:pPr>
        <w:pStyle w:val="Heading1"/>
        <w:keepNext/>
      </w:pPr>
      <w:r>
        <w:t>13. Implementation Roadmap</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23B66"/>
          </w:tcPr>
          <w:p>
            <w:pPr>
              <w:spacing w:after="20"/>
            </w:pPr>
            <w:r/>
            <w:r>
              <w:rPr>
                <w:rFonts w:ascii="Aptos" w:hAnsi="Aptos"/>
                <w:b/>
                <w:color w:val="FFFFFF"/>
                <w:sz w:val="18"/>
              </w:rPr>
              <w:t>Stage</w:t>
            </w:r>
          </w:p>
        </w:tc>
        <w:tc>
          <w:tcPr>
            <w:tcW w:type="dxa" w:w="4320"/>
            <w:vAlign w:val="center"/>
            <w:shd w:fill="123B66"/>
          </w:tcPr>
          <w:p>
            <w:pPr>
              <w:spacing w:after="20"/>
            </w:pPr>
            <w:r/>
            <w:r>
              <w:rPr>
                <w:rFonts w:ascii="Aptos" w:hAnsi="Aptos"/>
                <w:b/>
                <w:color w:val="FFFFFF"/>
                <w:sz w:val="18"/>
              </w:rPr>
              <w:t>Scope</w:t>
            </w:r>
          </w:p>
        </w:tc>
        <w:tc>
          <w:tcPr>
            <w:tcW w:type="dxa" w:w="4032"/>
            <w:vAlign w:val="center"/>
            <w:shd w:fill="123B66"/>
          </w:tcPr>
          <w:p>
            <w:pPr>
              <w:spacing w:after="20"/>
            </w:pPr>
            <w:r/>
            <w:r>
              <w:rPr>
                <w:rFonts w:ascii="Aptos" w:hAnsi="Aptos"/>
                <w:b/>
                <w:color w:val="FFFFFF"/>
                <w:sz w:val="18"/>
              </w:rPr>
              <w:t>Exit criteria</w:t>
            </w:r>
          </w:p>
        </w:tc>
      </w:tr>
      <w:tr>
        <w:tc>
          <w:tcPr>
            <w:tcW w:type="dxa" w:w="1440"/>
            <w:vAlign w:val="center"/>
          </w:tcPr>
          <w:p>
            <w:pPr>
              <w:spacing w:after="20"/>
            </w:pPr>
            <w:r/>
            <w:r>
              <w:rPr>
                <w:rFonts w:ascii="Aptos" w:hAnsi="Aptos"/>
                <w:b w:val="0"/>
                <w:color w:val="1F2937"/>
                <w:sz w:val="17"/>
              </w:rPr>
              <w:t>1. Foundation</w:t>
            </w:r>
          </w:p>
        </w:tc>
        <w:tc>
          <w:tcPr>
            <w:tcW w:type="dxa" w:w="4320"/>
            <w:vAlign w:val="center"/>
          </w:tcPr>
          <w:p>
            <w:pPr>
              <w:spacing w:after="20"/>
            </w:pPr>
            <w:r/>
            <w:r>
              <w:rPr>
                <w:rFonts w:ascii="Aptos" w:hAnsi="Aptos"/>
                <w:b w:val="0"/>
                <w:color w:val="1F2937"/>
                <w:sz w:val="17"/>
              </w:rPr>
              <w:t>Landing page, feature pages, pricing, trial, checkout, payment verification, SACCO registration and platform admin.</w:t>
            </w:r>
          </w:p>
        </w:tc>
        <w:tc>
          <w:tcPr>
            <w:tcW w:type="dxa" w:w="4032"/>
            <w:vAlign w:val="center"/>
          </w:tcPr>
          <w:p>
            <w:pPr>
              <w:spacing w:after="20"/>
            </w:pPr>
            <w:r/>
            <w:r>
              <w:rPr>
                <w:rFonts w:ascii="Aptos" w:hAnsi="Aptos"/>
                <w:b w:val="0"/>
                <w:color w:val="1F2937"/>
                <w:sz w:val="17"/>
              </w:rPr>
              <w:t>Trial and paid registration flows pass end-to-end tests; payment failures do not activate subscriptions.</w:t>
            </w:r>
          </w:p>
        </w:tc>
      </w:tr>
      <w:tr>
        <w:tc>
          <w:tcPr>
            <w:tcW w:type="dxa" w:w="1440"/>
            <w:vAlign w:val="center"/>
            <w:shd w:fill="F4F7FA"/>
          </w:tcPr>
          <w:p>
            <w:pPr>
              <w:spacing w:after="20"/>
            </w:pPr>
            <w:r/>
            <w:r>
              <w:rPr>
                <w:rFonts w:ascii="Aptos" w:hAnsi="Aptos"/>
                <w:b w:val="0"/>
                <w:color w:val="1F2937"/>
                <w:sz w:val="17"/>
              </w:rPr>
              <w:t>2. SACCO core</w:t>
            </w:r>
          </w:p>
        </w:tc>
        <w:tc>
          <w:tcPr>
            <w:tcW w:type="dxa" w:w="4320"/>
            <w:vAlign w:val="center"/>
            <w:shd w:fill="F4F7FA"/>
          </w:tcPr>
          <w:p>
            <w:pPr>
              <w:spacing w:after="20"/>
            </w:pPr>
            <w:r/>
            <w:r>
              <w:rPr>
                <w:rFonts w:ascii="Aptos" w:hAnsi="Aptos"/>
                <w:b w:val="0"/>
                <w:color w:val="1F2937"/>
                <w:sz w:val="17"/>
              </w:rPr>
              <w:t>Tenants, users, members, savings/shares, loan products, applications and accounting ledger.</w:t>
            </w:r>
          </w:p>
        </w:tc>
        <w:tc>
          <w:tcPr>
            <w:tcW w:type="dxa" w:w="4032"/>
            <w:vAlign w:val="center"/>
            <w:shd w:fill="F4F7FA"/>
          </w:tcPr>
          <w:p>
            <w:pPr>
              <w:spacing w:after="20"/>
            </w:pPr>
            <w:r/>
            <w:r>
              <w:rPr>
                <w:rFonts w:ascii="Aptos" w:hAnsi="Aptos"/>
                <w:b w:val="0"/>
                <w:color w:val="1F2937"/>
                <w:sz w:val="17"/>
              </w:rPr>
              <w:t>Core workflows reconcile; corrections and approvals are traceable.</w:t>
            </w:r>
          </w:p>
        </w:tc>
      </w:tr>
      <w:tr>
        <w:tc>
          <w:tcPr>
            <w:tcW w:type="dxa" w:w="1440"/>
            <w:vAlign w:val="center"/>
          </w:tcPr>
          <w:p>
            <w:pPr>
              <w:spacing w:after="20"/>
            </w:pPr>
            <w:r/>
            <w:r>
              <w:rPr>
                <w:rFonts w:ascii="Aptos" w:hAnsi="Aptos"/>
                <w:b w:val="0"/>
                <w:color w:val="1F2937"/>
                <w:sz w:val="17"/>
              </w:rPr>
              <w:t>3. Member portal</w:t>
            </w:r>
          </w:p>
        </w:tc>
        <w:tc>
          <w:tcPr>
            <w:tcW w:type="dxa" w:w="4320"/>
            <w:vAlign w:val="center"/>
          </w:tcPr>
          <w:p>
            <w:pPr>
              <w:spacing w:after="20"/>
            </w:pPr>
            <w:r/>
            <w:r>
              <w:rPr>
                <w:rFonts w:ascii="Aptos" w:hAnsi="Aptos"/>
                <w:b w:val="0"/>
                <w:color w:val="1F2937"/>
                <w:sz w:val="17"/>
              </w:rPr>
              <w:t>Responsive account views, statements, loan status and notification inbox.</w:t>
            </w:r>
          </w:p>
        </w:tc>
        <w:tc>
          <w:tcPr>
            <w:tcW w:type="dxa" w:w="4032"/>
            <w:vAlign w:val="center"/>
          </w:tcPr>
          <w:p>
            <w:pPr>
              <w:spacing w:after="20"/>
            </w:pPr>
            <w:r/>
            <w:r>
              <w:rPr>
                <w:rFonts w:ascii="Aptos" w:hAnsi="Aptos"/>
                <w:b w:val="0"/>
                <w:color w:val="1F2937"/>
                <w:sz w:val="17"/>
              </w:rPr>
              <w:t>Members see only their own data across supported devices.</w:t>
            </w:r>
          </w:p>
        </w:tc>
      </w:tr>
      <w:tr>
        <w:tc>
          <w:tcPr>
            <w:tcW w:type="dxa" w:w="1440"/>
            <w:vAlign w:val="center"/>
            <w:shd w:fill="F4F7FA"/>
          </w:tcPr>
          <w:p>
            <w:pPr>
              <w:spacing w:after="20"/>
            </w:pPr>
            <w:r/>
            <w:r>
              <w:rPr>
                <w:rFonts w:ascii="Aptos" w:hAnsi="Aptos"/>
                <w:b w:val="0"/>
                <w:color w:val="1F2937"/>
                <w:sz w:val="17"/>
              </w:rPr>
              <w:t>4. Integrations</w:t>
            </w:r>
          </w:p>
        </w:tc>
        <w:tc>
          <w:tcPr>
            <w:tcW w:type="dxa" w:w="4320"/>
            <w:vAlign w:val="center"/>
            <w:shd w:fill="F4F7FA"/>
          </w:tcPr>
          <w:p>
            <w:pPr>
              <w:spacing w:after="20"/>
            </w:pPr>
            <w:r/>
            <w:r>
              <w:rPr>
                <w:rFonts w:ascii="Aptos" w:hAnsi="Aptos"/>
                <w:b w:val="0"/>
                <w:color w:val="1F2937"/>
                <w:sz w:val="17"/>
              </w:rPr>
              <w:t>Approved payment-provider integration, SMS/email and optional push notifications.</w:t>
            </w:r>
          </w:p>
        </w:tc>
        <w:tc>
          <w:tcPr>
            <w:tcW w:type="dxa" w:w="4032"/>
            <w:vAlign w:val="center"/>
            <w:shd w:fill="F4F7FA"/>
          </w:tcPr>
          <w:p>
            <w:pPr>
              <w:spacing w:after="20"/>
            </w:pPr>
            <w:r/>
            <w:r>
              <w:rPr>
                <w:rFonts w:ascii="Aptos" w:hAnsi="Aptos"/>
                <w:b w:val="0"/>
                <w:color w:val="1F2937"/>
                <w:sz w:val="17"/>
              </w:rPr>
              <w:t>Callbacks, retries, duplicates, reversals and reconciliation are tested.</w:t>
            </w:r>
          </w:p>
        </w:tc>
      </w:tr>
      <w:tr>
        <w:tc>
          <w:tcPr>
            <w:tcW w:type="dxa" w:w="1440"/>
            <w:vAlign w:val="center"/>
          </w:tcPr>
          <w:p>
            <w:pPr>
              <w:spacing w:after="20"/>
            </w:pPr>
            <w:r/>
            <w:r>
              <w:rPr>
                <w:rFonts w:ascii="Aptos" w:hAnsi="Aptos"/>
                <w:b w:val="0"/>
                <w:color w:val="1F2937"/>
                <w:sz w:val="17"/>
              </w:rPr>
              <w:t>5. Pilot and launch</w:t>
            </w:r>
          </w:p>
        </w:tc>
        <w:tc>
          <w:tcPr>
            <w:tcW w:type="dxa" w:w="4320"/>
            <w:vAlign w:val="center"/>
          </w:tcPr>
          <w:p>
            <w:pPr>
              <w:spacing w:after="20"/>
            </w:pPr>
            <w:r/>
            <w:r>
              <w:rPr>
                <w:rFonts w:ascii="Aptos" w:hAnsi="Aptos"/>
                <w:b w:val="0"/>
                <w:color w:val="1F2937"/>
                <w:sz w:val="17"/>
              </w:rPr>
              <w:t>Migration tools, reports, security tests, backup recovery, training and support processes.</w:t>
            </w:r>
          </w:p>
        </w:tc>
        <w:tc>
          <w:tcPr>
            <w:tcW w:type="dxa" w:w="4032"/>
            <w:vAlign w:val="center"/>
          </w:tcPr>
          <w:p>
            <w:pPr>
              <w:spacing w:after="20"/>
            </w:pPr>
            <w:r/>
            <w:r>
              <w:rPr>
                <w:rFonts w:ascii="Aptos" w:hAnsi="Aptos"/>
                <w:b w:val="0"/>
                <w:color w:val="1F2937"/>
                <w:sz w:val="17"/>
              </w:rPr>
              <w:t>Pilot SACCOs sign off on workflows, data reconciliation and access controls.</w:t>
            </w:r>
          </w:p>
        </w:tc>
      </w:tr>
    </w:tbl>
    <w:p/>
    <w:p>
      <w:pPr>
        <w:pStyle w:val="Heading1"/>
        <w:keepNext/>
      </w:pPr>
      <w:r>
        <w:t>14. Testing and Acceptance Checklist</w:t>
      </w:r>
    </w:p>
    <w:p>
      <w:pPr>
        <w:pStyle w:val="ListBullet"/>
        <w:spacing w:after="40"/>
      </w:pPr>
      <w:r>
        <w:t>☐  A trial SACCO can register without payment and sees the correct expiry date.</w:t>
      </w:r>
    </w:p>
    <w:p>
      <w:pPr>
        <w:pStyle w:val="ListBullet"/>
        <w:spacing w:after="40"/>
      </w:pPr>
      <w:r>
        <w:t>☐  A paid SACCO cannot activate until payment is verified by the server.</w:t>
      </w:r>
    </w:p>
    <w:p>
      <w:pPr>
        <w:pStyle w:val="ListBullet"/>
        <w:spacing w:after="40"/>
      </w:pPr>
      <w:r>
        <w:t>☐  Duplicate payment callbacks do not create duplicate subscriptions or charges.</w:t>
      </w:r>
    </w:p>
    <w:p>
      <w:pPr>
        <w:pStyle w:val="ListBullet"/>
        <w:spacing w:after="40"/>
      </w:pPr>
      <w:r>
        <w:t>☐  Expired subscriptions follow the published grace-period and access rules.</w:t>
      </w:r>
    </w:p>
    <w:p>
      <w:pPr>
        <w:pStyle w:val="ListBullet"/>
        <w:spacing w:after="40"/>
      </w:pPr>
      <w:r>
        <w:t>☐  SACCO A cannot access SACCO B's members, balances, reports, files or notifications.</w:t>
      </w:r>
    </w:p>
    <w:p>
      <w:pPr>
        <w:pStyle w:val="ListBullet"/>
        <w:spacing w:after="40"/>
      </w:pPr>
      <w:r>
        <w:t>☐  Member users can view only their own permitted information.</w:t>
      </w:r>
    </w:p>
    <w:p>
      <w:pPr>
        <w:pStyle w:val="ListBullet"/>
        <w:spacing w:after="40"/>
      </w:pPr>
      <w:r>
        <w:t>☐  Financial entries balance and posted transactions cannot be silently edited or deleted.</w:t>
      </w:r>
    </w:p>
    <w:p>
      <w:pPr>
        <w:pStyle w:val="ListBullet"/>
        <w:spacing w:after="40"/>
      </w:pPr>
      <w:r>
        <w:t>☐  Loan schedules, interest, fees and repayments match approved product rules and independently checked test cases.</w:t>
      </w:r>
    </w:p>
    <w:p>
      <w:pPr>
        <w:pStyle w:val="ListBullet"/>
        <w:spacing w:after="40"/>
      </w:pPr>
      <w:r>
        <w:t>☐  Notifications are linked to verified events and have delivery/read history.</w:t>
      </w:r>
    </w:p>
    <w:p>
      <w:pPr>
        <w:pStyle w:val="ListBullet"/>
        <w:spacing w:after="40"/>
      </w:pPr>
      <w:r>
        <w:t>☐  Exports and reports reconcile to the underlying ledger.</w:t>
      </w:r>
    </w:p>
    <w:p>
      <w:pPr>
        <w:pStyle w:val="ListBullet"/>
        <w:spacing w:after="40"/>
      </w:pPr>
      <w:r>
        <w:t>☐  Backups can be restored and recovery steps are documented.</w:t>
      </w:r>
    </w:p>
    <w:p>
      <w:pPr>
        <w:pStyle w:val="ListBullet"/>
        <w:spacing w:after="40"/>
      </w:pPr>
      <w:r>
        <w:t>☐  The app is usable on Android phones, iPhones, iPads, tablets and desktop browsers.</w:t>
      </w:r>
    </w:p>
    <w:p>
      <w:pPr>
        <w:pStyle w:val="ListBullet"/>
        <w:spacing w:after="40"/>
      </w:pPr>
      <w:r>
        <w:t>☐  Privacy, subscription, support, data-export and termination terms are available before launch.</w:t>
      </w:r>
    </w:p>
    <w:p>
      <w:pPr>
        <w:pStyle w:val="Heading1"/>
        <w:keepNext/>
      </w:pPr>
      <w:r>
        <w:t>15. Research References and Verification Links</w:t>
      </w:r>
    </w:p>
    <w:p>
      <w:r>
        <w:t>Use current official sources when confirming requirements. The list below is a starting point; verify that each law, regulation, page and API requirement is current at implementation time.</w:t>
      </w:r>
    </w:p>
    <w:p>
      <w:pPr>
        <w:pStyle w:val="ListBullet"/>
        <w:spacing w:after="40"/>
      </w:pPr>
      <w:r>
        <w:rPr>
          <w:b/>
        </w:rPr>
        <w:t xml:space="preserve">Uganda Microfinance Regulatory Authority (UMRA): </w:t>
      </w:r>
      <w:r>
        <w:t>https://umra.go.ug/</w:t>
      </w:r>
    </w:p>
    <w:p>
      <w:pPr>
        <w:pStyle w:val="ListBullet"/>
        <w:spacing w:after="40"/>
      </w:pPr>
      <w:r>
        <w:rPr>
          <w:b/>
        </w:rPr>
        <w:t xml:space="preserve">Bank of Uganda: </w:t>
      </w:r>
      <w:r>
        <w:t>https://www.bou.or.ug/</w:t>
      </w:r>
    </w:p>
    <w:p>
      <w:pPr>
        <w:pStyle w:val="ListBullet"/>
        <w:spacing w:after="40"/>
      </w:pPr>
      <w:r>
        <w:rPr>
          <w:b/>
        </w:rPr>
        <w:t xml:space="preserve">Personal Data Protection Office (PDPO): </w:t>
      </w:r>
      <w:r>
        <w:t>https://pdpo.go.ug/</w:t>
      </w:r>
    </w:p>
    <w:p>
      <w:pPr>
        <w:pStyle w:val="ListBullet"/>
        <w:spacing w:after="40"/>
      </w:pPr>
      <w:r>
        <w:rPr>
          <w:b/>
        </w:rPr>
        <w:t xml:space="preserve">Ministry of Finance, Planning and Economic Development: </w:t>
      </w:r>
      <w:r>
        <w:t>https://www.finance.go.ug/</w:t>
      </w:r>
    </w:p>
    <w:p>
      <w:pPr>
        <w:pStyle w:val="ListBullet"/>
        <w:spacing w:after="40"/>
      </w:pPr>
      <w:r>
        <w:rPr>
          <w:b/>
        </w:rPr>
        <w:t xml:space="preserve">MTN MoMo Developer Portal: </w:t>
      </w:r>
      <w:r>
        <w:t>https://momodeveloper.mtn.com/</w:t>
      </w:r>
    </w:p>
    <w:p>
      <w:pPr>
        <w:pStyle w:val="ListBullet"/>
        <w:spacing w:after="40"/>
      </w:pPr>
      <w:r>
        <w:rPr>
          <w:b/>
        </w:rPr>
        <w:t xml:space="preserve">SaccoWave (vendor reference): </w:t>
      </w:r>
      <w:r>
        <w:t>https://www.saccowave.com/</w:t>
      </w:r>
    </w:p>
    <w:p>
      <w:pPr>
        <w:pStyle w:val="ListBullet"/>
        <w:spacing w:after="40"/>
      </w:pPr>
      <w:r>
        <w:rPr>
          <w:b/>
        </w:rPr>
        <w:t xml:space="preserve">Ensibuuko (vendor reference): </w:t>
      </w:r>
      <w:r>
        <w:t>https://www.ensibuuko.com/</w:t>
      </w:r>
    </w:p>
    <w:p>
      <w:pPr>
        <w:pStyle w:val="ListBullet"/>
        <w:spacing w:after="40"/>
      </w:pPr>
      <w:r>
        <w:rPr>
          <w:b/>
        </w:rPr>
        <w:t xml:space="preserve">PesaSave (vendor reference): </w:t>
      </w:r>
      <w:r>
        <w:t>https://pesasave.app/</w:t>
      </w:r>
    </w:p>
    <w:p>
      <w:pPr>
        <w:pStyle w:val="Heading1"/>
        <w:keepNext/>
      </w:pPr>
      <w:r>
        <w:t>16. Recommended First Release</w:t>
      </w:r>
    </w:p>
    <w:p>
      <w:r>
        <w:t>Prioritize the public landing page, pricing and trial, verified subscription checkout, SACCO onboarding, tenant isolation, member management, savings/shares, basic loan workflows, double-entry accounting, reports and in-app notifications. Treat live money movement, complex integrations and enterprise-grade multi-branch features as later phases unless pilot customers demonstrate that they are essential from day one.</w:t>
      </w:r>
    </w:p>
    <w:tbl>
      <w:tblPr>
        <w:tblStyle w:val="TableGrid"/>
        <w:tblW w:type="auto" w:w="0"/>
        <w:tblLook w:firstColumn="1" w:firstRow="1" w:lastColumn="0" w:lastRow="0" w:noHBand="0" w:noVBand="1" w:val="04A0"/>
      </w:tblPr>
      <w:tblGrid>
        <w:gridCol w:w="9994"/>
      </w:tblGrid>
      <w:tr>
        <w:tc>
          <w:tcPr>
            <w:tcW w:type="dxa" w:w="9994"/>
            <w:shd w:fill="EAF3FB"/>
          </w:tcPr>
          <w:p>
            <w:pPr>
              <w:spacing w:after="60"/>
            </w:pPr>
            <w:r/>
            <w:r>
              <w:rPr>
                <w:b/>
                <w:color w:val="123B66"/>
                <w:sz w:val="20"/>
              </w:rPr>
              <w:t>SUCCESS CRITERIA</w:t>
              <w:br/>
            </w:r>
            <w:r>
              <w:rPr>
                <w:sz w:val="19"/>
              </w:rPr>
              <w:t>A SACCO can subscribe, register, configure its workspace, maintain traceable financial records and invite members. Members can securely view their own account activity and receive relevant notifications on their devices—without any SACCO being able to access another SACCO's data.</w:t>
            </w:r>
          </w:p>
        </w:tc>
      </w:tr>
    </w:tbl>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Uganda SACCO SaaS Blueprint  •  Working document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976D2"/>
        <w:sz w:val="16"/>
      </w:rPr>
      <w:t>SACCO SaaS PLATFORM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B6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976D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3B6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Uganda SACCO SaaS Platform — Product Blueprint</dc:title>
  <dc:subject>Product, technical architecture, pricing, onboarding and implementation roadmap</dc:subject>
  <dc:creator>OpenAI</dc:creator>
  <cp:keywords>Uganda, SACCO, SaaS, fintech, product blueprint, multi-tenant</cp:keywords>
  <dc:description>generated by python-docx</dc:description>
  <cp:lastModifiedBy/>
  <cp:revision>1</cp:revision>
  <dcterms:created xsi:type="dcterms:W3CDTF">2013-12-23T23:15:00Z</dcterms:created>
  <dcterms:modified xsi:type="dcterms:W3CDTF">2013-12-23T23:15:00Z</dcterms:modified>
  <cp:category/>
</cp:coreProperties>
</file>