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jc w:val="center"/>
      </w:pPr>
      <w:r>
        <w:rPr>
          <w:rFonts w:ascii="Times New Roman" w:cs="Times New Roman" w:eastAsia="Times New Roman" w:hAnsi="Times New Roman"/>
          <w:sz w:val="24"/>
          <w:szCs w:val="24"/>
        </w:rPr>
        <w:t xml:space="preserve"/>
      </w:r>
    </w:p>
    <w:p>
      <w:pPr>
        <w:spacing w:after="500"/>
        <w:jc w:val="center"/>
      </w:pPr>
      <w:r>
        <w:rPr>
          <w:rFonts w:ascii="Times New Roman" w:cs="Times New Roman" w:eastAsia="Times New Roman" w:hAnsi="Times New Roman"/>
          <w:b/>
          <w:bCs/>
          <w:sz w:val="36"/>
          <w:szCs w:val="36"/>
        </w:rPr>
        <w:t xml:space="preserve">Layered Smart Cyber Defence against Backdoor Attacks on Deep Learning Models: Implications for Intrusion Detection Systems</w:t>
      </w:r>
    </w:p>
    <w:p>
      <w:pPr>
        <w:spacing w:after="700"/>
        <w:jc w:val="center"/>
      </w:pPr>
      <w:r>
        <w:rPr>
          <w:rFonts w:ascii="Times New Roman" w:cs="Times New Roman" w:eastAsia="Times New Roman" w:hAnsi="Times New Roman"/>
          <w:i/>
          <w:iCs/>
          <w:sz w:val="26"/>
          <w:szCs w:val="26"/>
        </w:rPr>
        <w:t xml:space="preserve">A Quantitative Evaluation on Image Classification</w:t>
      </w:r>
    </w:p>
    <w:p>
      <w:pPr>
        <w:spacing w:after="500"/>
        <w:jc w:val="center"/>
      </w:pPr>
      <w:r>
        <w:rPr>
          <w:rFonts w:ascii="Times New Roman" w:cs="Times New Roman" w:eastAsia="Times New Roman" w:hAnsi="Times New Roman"/>
          <w:sz w:val="24"/>
          <w:szCs w:val="24"/>
        </w:rPr>
        <w:t xml:space="preserve">A thesis submitted in partial fulfilment of the requirements for the degree of [Degree Name]</w:t>
      </w:r>
    </w:p>
    <w:p>
      <w:pPr>
        <w:spacing w:after="200"/>
        <w:jc w:val="center"/>
      </w:pPr>
      <w:r>
        <w:rPr>
          <w:rFonts w:ascii="Times New Roman" w:cs="Times New Roman" w:eastAsia="Times New Roman" w:hAnsi="Times New Roman"/>
          <w:sz w:val="22"/>
          <w:szCs w:val="22"/>
        </w:rPr>
        <w:t xml:space="preserve">by</w:t>
      </w:r>
    </w:p>
    <w:p>
      <w:pPr>
        <w:spacing w:after="80"/>
        <w:jc w:val="center"/>
      </w:pPr>
      <w:r>
        <w:rPr>
          <w:rFonts w:ascii="Times New Roman" w:cs="Times New Roman" w:eastAsia="Times New Roman" w:hAnsi="Times New Roman"/>
          <w:b/>
          <w:bCs/>
          <w:sz w:val="26"/>
          <w:szCs w:val="26"/>
        </w:rPr>
        <w:t xml:space="preserve">[Student Name]</w:t>
      </w:r>
    </w:p>
    <w:p>
      <w:pPr>
        <w:spacing w:after="500"/>
        <w:jc w:val="center"/>
      </w:pPr>
      <w:r>
        <w:rPr>
          <w:rFonts w:ascii="Times New Roman" w:cs="Times New Roman" w:eastAsia="Times New Roman" w:hAnsi="Times New Roman"/>
          <w:sz w:val="22"/>
          <w:szCs w:val="22"/>
        </w:rPr>
        <w:t xml:space="preserve">[Student ID]</w:t>
      </w:r>
    </w:p>
    <w:p>
      <w:pPr>
        <w:spacing w:after="100"/>
        <w:jc w:val="center"/>
      </w:pPr>
      <w:r>
        <w:rPr>
          <w:rFonts w:ascii="Times New Roman" w:cs="Times New Roman" w:eastAsia="Times New Roman" w:hAnsi="Times New Roman"/>
          <w:sz w:val="24"/>
          <w:szCs w:val="24"/>
        </w:rPr>
        <w:t xml:space="preserve">Supervisor: [Supervisor Name]</w:t>
      </w:r>
    </w:p>
    <w:p>
      <w:pPr>
        <w:spacing w:after="100"/>
        <w:jc w:val="center"/>
      </w:pPr>
      <w:r>
        <w:rPr>
          <w:rFonts w:ascii="Times New Roman" w:cs="Times New Roman" w:eastAsia="Times New Roman" w:hAnsi="Times New Roman"/>
          <w:sz w:val="24"/>
          <w:szCs w:val="24"/>
        </w:rPr>
        <w:t xml:space="preserve">[Department / Faculty]</w:t>
      </w:r>
    </w:p>
    <w:p>
      <w:pPr>
        <w:spacing w:after="500"/>
        <w:jc w:val="center"/>
      </w:pPr>
      <w:r>
        <w:rPr>
          <w:rFonts w:ascii="Times New Roman" w:cs="Times New Roman" w:eastAsia="Times New Roman" w:hAnsi="Times New Roman"/>
          <w:sz w:val="24"/>
          <w:szCs w:val="24"/>
        </w:rPr>
        <w:t xml:space="preserve">[University Name]</w:t>
      </w:r>
    </w:p>
    <w:p>
      <w:pPr>
        <w:spacing w:after="120"/>
        <w:jc w:val="center"/>
      </w:pPr>
      <w:r>
        <w:rPr>
          <w:rFonts w:ascii="Times New Roman" w:cs="Times New Roman" w:eastAsia="Times New Roman" w:hAnsi="Times New Roman"/>
          <w:sz w:val="24"/>
          <w:szCs w:val="24"/>
        </w:rPr>
        <w:t xml:space="preserve">October 2026</w:t>
      </w:r>
    </w:p>
    <w:p>
      <w:pPr>
        <w:sectPr>
          <w:pgSz w:w="12240" w:h="15840" w:orient="portrait"/>
          <w:pgMar w:top="1440" w:right="1440" w:bottom="1440" w:left="1440" w:header="708" w:footer="708" w:gutter="0"/>
          <w:pgNumType/>
          <w:docGrid w:linePitch="360"/>
        </w:sectPr>
      </w:pPr>
    </w:p>
    <w:p>
      <w:pPr>
        <w:pageBreakBefore/>
        <w:spacing w:after="360" w:before="480" w:line="320"/>
        <w:jc w:val="left"/>
      </w:pPr>
      <w:r>
        <w:rPr>
          <w:rFonts w:ascii="Times New Roman" w:cs="Times New Roman" w:eastAsia="Times New Roman" w:hAnsi="Times New Roman"/>
          <w:b/>
          <w:bCs/>
          <w:sz w:val="40"/>
          <w:szCs w:val="40"/>
        </w:rPr>
        <w:t xml:space="preserve">Declaration</w:t>
      </w:r>
    </w:p>
    <w:p>
      <w:pPr>
        <w:spacing w:after="200" w:before="0" w:line="320"/>
        <w:jc w:val="both"/>
      </w:pPr>
      <w:r>
        <w:rPr>
          <w:rFonts w:ascii="Times New Roman" w:cs="Times New Roman" w:eastAsia="Times New Roman" w:hAnsi="Times New Roman"/>
          <w:sz w:val="24"/>
          <w:szCs w:val="24"/>
        </w:rPr>
        <w:t xml:space="preserve">It is hereby declared that</w:t>
      </w:r>
    </w:p>
    <w:p>
      <w:pPr>
        <w:tabs>
          <w:tab w:val="left" w:pos="720"/>
        </w:tabs>
        <w:spacing w:after="160" w:before="0" w:line="320"/>
        <w:ind w:left="720" w:hanging="40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The thesis submitted is my own original work while completing my degree at [University Name].</w:t>
      </w:r>
    </w:p>
    <w:p>
      <w:pPr>
        <w:tabs>
          <w:tab w:val="left" w:pos="720"/>
        </w:tabs>
        <w:spacing w:after="160" w:before="0" w:line="320"/>
        <w:ind w:left="720" w:hanging="40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The thesis does not contain material previously published or written by a third party, except where this is appropriately cited through full and accurate referencing.</w:t>
      </w:r>
    </w:p>
    <w:p>
      <w:pPr>
        <w:tabs>
          <w:tab w:val="left" w:pos="720"/>
        </w:tabs>
        <w:spacing w:after="160" w:before="0" w:line="320"/>
        <w:ind w:left="720" w:hanging="40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The thesis does not contain material which has been accepted, or submitted, for any other degree or diploma at a university or other institution.</w:t>
      </w:r>
    </w:p>
    <w:p>
      <w:pPr>
        <w:tabs>
          <w:tab w:val="left" w:pos="720"/>
        </w:tabs>
        <w:spacing w:after="160" w:before="0" w:line="320"/>
        <w:ind w:left="720" w:hanging="40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I have acknowledged all main sources of help.</w:t>
      </w:r>
    </w:p>
    <w:p>
      <w:pPr>
        <w:spacing w:after="700" w:before="480" w:line="320"/>
        <w:jc w:val="left"/>
      </w:pPr>
      <w:r>
        <w:rPr>
          <w:rFonts w:ascii="Times New Roman" w:cs="Times New Roman" w:eastAsia="Times New Roman" w:hAnsi="Times New Roman"/>
          <w:b/>
          <w:bCs/>
          <w:sz w:val="24"/>
          <w:szCs w:val="24"/>
        </w:rPr>
        <w:t xml:space="preserve">Student’s Full Name &amp; Signature:</w:t>
      </w:r>
    </w:p>
    <w:p>
      <w:pPr>
        <w:spacing w:after="40" w:before="0" w:line="320"/>
        <w:jc w:val="center"/>
      </w:pPr>
      <w:r>
        <w:rPr>
          <w:rFonts w:ascii="Times New Roman" w:cs="Times New Roman" w:eastAsia="Times New Roman" w:hAnsi="Times New Roman"/>
          <w:sz w:val="24"/>
          <w:szCs w:val="24"/>
        </w:rPr>
        <w:t xml:space="preserve">________________________________</w:t>
      </w:r>
    </w:p>
    <w:p>
      <w:pPr>
        <w:spacing w:after="20" w:before="0" w:line="320"/>
        <w:jc w:val="center"/>
      </w:pPr>
      <w:r>
        <w:rPr>
          <w:rFonts w:ascii="Times New Roman" w:cs="Times New Roman" w:eastAsia="Times New Roman" w:hAnsi="Times New Roman"/>
          <w:sz w:val="24"/>
          <w:szCs w:val="24"/>
          <w:highlight w:val="yellow"/>
          <w:highlightCs w:val="yellow"/>
        </w:rPr>
        <w:t xml:space="preserve">[Student Name]</w:t>
      </w:r>
    </w:p>
    <w:p>
      <w:pPr>
        <w:spacing w:after="20" w:before="0" w:line="320"/>
        <w:jc w:val="center"/>
      </w:pPr>
      <w:r>
        <w:rPr>
          <w:rFonts w:ascii="Times New Roman" w:cs="Times New Roman" w:eastAsia="Times New Roman" w:hAnsi="Times New Roman"/>
          <w:sz w:val="24"/>
          <w:szCs w:val="24"/>
          <w:highlight w:val="yellow"/>
          <w:highlightCs w:val="yellow"/>
        </w:rPr>
        <w:t xml:space="preserve">[Student ID]</w:t>
      </w:r>
    </w:p>
    <w:p>
      <w:pPr>
        <w:pageBreakBefore/>
        <w:spacing w:after="360" w:before="480" w:line="320"/>
        <w:jc w:val="left"/>
      </w:pPr>
      <w:r>
        <w:rPr>
          <w:rFonts w:ascii="Times New Roman" w:cs="Times New Roman" w:eastAsia="Times New Roman" w:hAnsi="Times New Roman"/>
          <w:b/>
          <w:bCs/>
          <w:sz w:val="40"/>
          <w:szCs w:val="40"/>
        </w:rPr>
        <w:t xml:space="preserve">Approval</w:t>
      </w:r>
    </w:p>
    <w:p>
      <w:pPr>
        <w:spacing w:after="200" w:before="0" w:line="320"/>
        <w:jc w:val="both"/>
      </w:pPr>
      <w:r>
        <w:rPr>
          <w:rFonts w:ascii="Times New Roman" w:cs="Times New Roman" w:eastAsia="Times New Roman" w:hAnsi="Times New Roman"/>
          <w:sz w:val="24"/>
          <w:szCs w:val="24"/>
        </w:rPr>
        <w:t xml:space="preserve">The thesis titled “</w:t>
      </w:r>
      <w:r>
        <w:rPr>
          <w:rFonts w:ascii="Times New Roman" w:cs="Times New Roman" w:eastAsia="Times New Roman" w:hAnsi="Times New Roman"/>
          <w:sz w:val="24"/>
          <w:szCs w:val="24"/>
        </w:rPr>
        <w:t xml:space="preserve">Layered Smart Cyber Defence against Backdoor Attacks on Deep Learning Models: Implications for Intrusion Detection Systems</w:t>
      </w:r>
      <w:r>
        <w:rPr>
          <w:rFonts w:ascii="Times New Roman" w:cs="Times New Roman" w:eastAsia="Times New Roman" w:hAnsi="Times New Roman"/>
          <w:sz w:val="24"/>
          <w:szCs w:val="24"/>
        </w:rPr>
        <w:t xml:space="preserve">” submitted by</w:t>
      </w:r>
    </w:p>
    <w:p>
      <w:pPr>
        <w:spacing w:after="200" w:before="0" w:line="320"/>
        <w:jc w:val="center"/>
      </w:pPr>
      <w:r>
        <w:rPr>
          <w:rFonts w:ascii="Times New Roman" w:cs="Times New Roman" w:eastAsia="Times New Roman" w:hAnsi="Times New Roman"/>
          <w:sz w:val="24"/>
          <w:szCs w:val="24"/>
          <w:highlight w:val="yellow"/>
          <w:highlightCs w:val="yellow"/>
        </w:rPr>
        <w:t xml:space="preserve">[Student Name] ([Student ID])</w:t>
      </w:r>
    </w:p>
    <w:p>
      <w:pPr>
        <w:spacing w:after="300" w:before="0" w:line="320"/>
        <w:jc w:val="both"/>
      </w:pPr>
      <w:r>
        <w:rPr>
          <w:rFonts w:ascii="Times New Roman" w:cs="Times New Roman" w:eastAsia="Times New Roman" w:hAnsi="Times New Roman"/>
          <w:sz w:val="24"/>
          <w:szCs w:val="24"/>
          <w:highlight w:val="yellow"/>
          <w:highlightCs w:val="yellow"/>
        </w:rPr>
        <w:t xml:space="preserve">of [Semester, Year]</w:t>
      </w:r>
      <w:r>
        <w:rPr>
          <w:rFonts w:ascii="Times New Roman" w:cs="Times New Roman" w:eastAsia="Times New Roman" w:hAnsi="Times New Roman"/>
          <w:sz w:val="24"/>
          <w:szCs w:val="24"/>
        </w:rPr>
        <w:t xml:space="preserve"> has been accepted as satisfactory in partial fulfilment of the requirement for the degree of </w:t>
      </w:r>
      <w:r>
        <w:rPr>
          <w:rFonts w:ascii="Times New Roman" w:cs="Times New Roman" w:eastAsia="Times New Roman" w:hAnsi="Times New Roman"/>
          <w:sz w:val="24"/>
          <w:szCs w:val="24"/>
          <w:highlight w:val="yellow"/>
          <w:highlightCs w:val="yellow"/>
        </w:rPr>
        <w:t xml:space="preserve">[Degree Name]</w:t>
      </w:r>
      <w:r>
        <w:rPr>
          <w:rFonts w:ascii="Times New Roman" w:cs="Times New Roman" w:eastAsia="Times New Roman" w:hAnsi="Times New Roman"/>
          <w:sz w:val="24"/>
          <w:szCs w:val="24"/>
        </w:rPr>
        <w:t xml:space="preserve"> on </w:t>
      </w:r>
      <w:r>
        <w:rPr>
          <w:rFonts w:ascii="Times New Roman" w:cs="Times New Roman" w:eastAsia="Times New Roman" w:hAnsi="Times New Roman"/>
          <w:sz w:val="24"/>
          <w:szCs w:val="24"/>
          <w:highlight w:val="yellow"/>
          <w:highlightCs w:val="yellow"/>
        </w:rPr>
        <w:t xml:space="preserve">[Date]</w:t>
      </w:r>
      <w:r>
        <w:rPr>
          <w:rFonts w:ascii="Times New Roman" w:cs="Times New Roman" w:eastAsia="Times New Roman" w:hAnsi="Times New Roman"/>
          <w:sz w:val="24"/>
          <w:szCs w:val="24"/>
        </w:rPr>
        <w:t xml:space="preserve">.</w:t>
      </w:r>
    </w:p>
    <w:p>
      <w:pPr>
        <w:spacing w:after="120" w:before="0" w:line="320"/>
        <w:jc w:val="left"/>
      </w:pPr>
      <w:r>
        <w:rPr>
          <w:rFonts w:ascii="Times New Roman" w:cs="Times New Roman" w:eastAsia="Times New Roman" w:hAnsi="Times New Roman"/>
          <w:b/>
          <w:bCs/>
          <w:sz w:val="24"/>
          <w:szCs w:val="24"/>
        </w:rPr>
        <w:t xml:space="preserve">Examining Committee: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00"/>
        <w:gridCol w:w="6760"/>
      </w:tblGrid>
      <w:tr>
        <w:tc>
          <w:tcPr>
            <w:tcW w:type="dxa" w:w="2600"/>
            <w:tcBorders>
              <w:top w:val="none" w:color="FFFFFF" w:sz="0"/>
              <w:left w:val="none" w:color="FFFFFF" w:sz="0"/>
              <w:bottom w:val="none" w:color="FFFFFF" w:sz="0"/>
              <w:right w:val="none" w:color="FFFFFF" w:sz="0"/>
            </w:tcBorders>
            <w:tcMar>
              <w:top w:type="dxa" w:w="200"/>
              <w:bottom w:type="dxa" w:w="200"/>
            </w:tcMar>
          </w:tcPr>
          <w:p>
            <w:pPr>
              <w:spacing w:after="0" w:before="0" w:line="276"/>
              <w:jc w:val="left"/>
            </w:pPr>
            <w:r>
              <w:rPr>
                <w:rFonts w:ascii="Times New Roman" w:cs="Times New Roman" w:eastAsia="Times New Roman" w:hAnsi="Times New Roman"/>
                <w:sz w:val="24"/>
                <w:szCs w:val="24"/>
              </w:rPr>
              <w:t xml:space="preserve">Supervisor:</w:t>
            </w:r>
          </w:p>
          <w:p>
            <w:pPr>
              <w:spacing w:after="0" w:before="0" w:line="276"/>
              <w:jc w:val="left"/>
            </w:pPr>
            <w:r>
              <w:rPr>
                <w:rFonts w:ascii="Times New Roman" w:cs="Times New Roman" w:eastAsia="Times New Roman" w:hAnsi="Times New Roman"/>
                <w:sz w:val="24"/>
                <w:szCs w:val="24"/>
              </w:rPr>
              <w:t xml:space="preserve">(Member)</w:t>
            </w:r>
          </w:p>
        </w:tc>
        <w:tc>
          <w:tcPr>
            <w:tcW w:type="dxa" w:w="6760"/>
            <w:tcBorders>
              <w:top w:val="none" w:color="FFFFFF" w:sz="0"/>
              <w:left w:val="none" w:color="FFFFFF" w:sz="0"/>
              <w:bottom w:val="none" w:color="FFFFFF" w:sz="0"/>
              <w:right w:val="none" w:color="FFFFFF" w:sz="0"/>
            </w:tcBorders>
            <w:tcMar>
              <w:top w:type="dxa" w:w="200"/>
              <w:bottom w:type="dxa" w:w="200"/>
            </w:tcMar>
          </w:tcPr>
          <w:p>
            <w:pPr>
              <w:spacing w:after="40" w:before="520" w:line="320"/>
              <w:jc w:val="center"/>
            </w:pPr>
            <w:r>
              <w:rPr>
                <w:rFonts w:ascii="Times New Roman" w:cs="Times New Roman" w:eastAsia="Times New Roman" w:hAnsi="Times New Roman"/>
                <w:sz w:val="24"/>
                <w:szCs w:val="24"/>
              </w:rPr>
              <w:t xml:space="preserve">________________________________</w:t>
            </w:r>
          </w:p>
          <w:p>
            <w:pPr>
              <w:spacing w:after="0" w:before="0" w:line="276"/>
              <w:jc w:val="center"/>
            </w:pPr>
            <w:r>
              <w:rPr>
                <w:rFonts w:ascii="Times New Roman" w:cs="Times New Roman" w:eastAsia="Times New Roman" w:hAnsi="Times New Roman"/>
                <w:sz w:val="24"/>
                <w:szCs w:val="24"/>
                <w:highlight w:val="yellow"/>
                <w:highlightCs w:val="yellow"/>
              </w:rPr>
              <w:t xml:space="preserve">[Supervisor Name]</w:t>
            </w:r>
          </w:p>
          <w:p>
            <w:pPr>
              <w:spacing w:after="0" w:before="0" w:line="276"/>
              <w:jc w:val="center"/>
            </w:pPr>
            <w:r>
              <w:rPr>
                <w:rFonts w:ascii="Times New Roman" w:cs="Times New Roman" w:eastAsia="Times New Roman" w:hAnsi="Times New Roman"/>
                <w:sz w:val="24"/>
                <w:szCs w:val="24"/>
                <w:highlight w:val="yellow"/>
                <w:highlightCs w:val="yellow"/>
              </w:rPr>
              <w:t xml:space="preserve">[Designation], [Department]</w:t>
            </w:r>
          </w:p>
          <w:p>
            <w:pPr>
              <w:spacing w:after="0" w:before="0" w:line="276"/>
              <w:jc w:val="center"/>
            </w:pPr>
            <w:r>
              <w:rPr>
                <w:rFonts w:ascii="Times New Roman" w:cs="Times New Roman" w:eastAsia="Times New Roman" w:hAnsi="Times New Roman"/>
                <w:sz w:val="24"/>
                <w:szCs w:val="24"/>
                <w:highlight w:val="yellow"/>
                <w:highlightCs w:val="yellow"/>
              </w:rPr>
              <w:t xml:space="preserve">[University Name]</w:t>
            </w:r>
          </w:p>
        </w:tc>
      </w:tr>
      <w:tr>
        <w:tc>
          <w:tcPr>
            <w:tcW w:type="dxa" w:w="2600"/>
            <w:tcBorders>
              <w:top w:val="none" w:color="FFFFFF" w:sz="0"/>
              <w:left w:val="none" w:color="FFFFFF" w:sz="0"/>
              <w:bottom w:val="none" w:color="FFFFFF" w:sz="0"/>
              <w:right w:val="none" w:color="FFFFFF" w:sz="0"/>
            </w:tcBorders>
            <w:tcMar>
              <w:top w:type="dxa" w:w="200"/>
              <w:bottom w:type="dxa" w:w="200"/>
            </w:tcMar>
          </w:tcPr>
          <w:p>
            <w:pPr>
              <w:spacing w:after="0" w:before="0" w:line="276"/>
              <w:jc w:val="left"/>
            </w:pPr>
            <w:r>
              <w:rPr>
                <w:rFonts w:ascii="Times New Roman" w:cs="Times New Roman" w:eastAsia="Times New Roman" w:hAnsi="Times New Roman"/>
                <w:sz w:val="24"/>
                <w:szCs w:val="24"/>
              </w:rPr>
              <w:t xml:space="preserve">Program Coordinator:</w:t>
            </w:r>
          </w:p>
          <w:p>
            <w:pPr>
              <w:spacing w:after="0" w:before="0" w:line="276"/>
              <w:jc w:val="left"/>
            </w:pPr>
            <w:r>
              <w:rPr>
                <w:rFonts w:ascii="Times New Roman" w:cs="Times New Roman" w:eastAsia="Times New Roman" w:hAnsi="Times New Roman"/>
                <w:sz w:val="24"/>
                <w:szCs w:val="24"/>
              </w:rPr>
              <w:t xml:space="preserve">(Member)</w:t>
            </w:r>
          </w:p>
        </w:tc>
        <w:tc>
          <w:tcPr>
            <w:tcW w:type="dxa" w:w="6760"/>
            <w:tcBorders>
              <w:top w:val="none" w:color="FFFFFF" w:sz="0"/>
              <w:left w:val="none" w:color="FFFFFF" w:sz="0"/>
              <w:bottom w:val="none" w:color="FFFFFF" w:sz="0"/>
              <w:right w:val="none" w:color="FFFFFF" w:sz="0"/>
            </w:tcBorders>
            <w:tcMar>
              <w:top w:type="dxa" w:w="200"/>
              <w:bottom w:type="dxa" w:w="200"/>
            </w:tcMar>
          </w:tcPr>
          <w:p>
            <w:pPr>
              <w:spacing w:after="40" w:before="520" w:line="320"/>
              <w:jc w:val="center"/>
            </w:pPr>
            <w:r>
              <w:rPr>
                <w:rFonts w:ascii="Times New Roman" w:cs="Times New Roman" w:eastAsia="Times New Roman" w:hAnsi="Times New Roman"/>
                <w:sz w:val="24"/>
                <w:szCs w:val="24"/>
              </w:rPr>
              <w:t xml:space="preserve">________________________________</w:t>
            </w:r>
          </w:p>
          <w:p>
            <w:pPr>
              <w:spacing w:after="0" w:before="0" w:line="276"/>
              <w:jc w:val="center"/>
            </w:pPr>
            <w:r>
              <w:rPr>
                <w:rFonts w:ascii="Times New Roman" w:cs="Times New Roman" w:eastAsia="Times New Roman" w:hAnsi="Times New Roman"/>
                <w:sz w:val="24"/>
                <w:szCs w:val="24"/>
                <w:highlight w:val="yellow"/>
                <w:highlightCs w:val="yellow"/>
              </w:rPr>
              <w:t xml:space="preserve">[Program Coordinator Name]</w:t>
            </w:r>
          </w:p>
          <w:p>
            <w:pPr>
              <w:spacing w:after="0" w:before="0" w:line="276"/>
              <w:jc w:val="center"/>
            </w:pPr>
            <w:r>
              <w:rPr>
                <w:rFonts w:ascii="Times New Roman" w:cs="Times New Roman" w:eastAsia="Times New Roman" w:hAnsi="Times New Roman"/>
                <w:sz w:val="24"/>
                <w:szCs w:val="24"/>
                <w:highlight w:val="yellow"/>
                <w:highlightCs w:val="yellow"/>
              </w:rPr>
              <w:t xml:space="preserve">[Designation], [Department]</w:t>
            </w:r>
          </w:p>
          <w:p>
            <w:pPr>
              <w:spacing w:after="0" w:before="0" w:line="276"/>
              <w:jc w:val="center"/>
            </w:pPr>
            <w:r>
              <w:rPr>
                <w:rFonts w:ascii="Times New Roman" w:cs="Times New Roman" w:eastAsia="Times New Roman" w:hAnsi="Times New Roman"/>
                <w:sz w:val="24"/>
                <w:szCs w:val="24"/>
                <w:highlight w:val="yellow"/>
                <w:highlightCs w:val="yellow"/>
              </w:rPr>
              <w:t xml:space="preserve">[University Name]</w:t>
            </w:r>
          </w:p>
        </w:tc>
      </w:tr>
      <w:tr>
        <w:tc>
          <w:tcPr>
            <w:tcW w:type="dxa" w:w="2600"/>
            <w:tcBorders>
              <w:top w:val="none" w:color="FFFFFF" w:sz="0"/>
              <w:left w:val="none" w:color="FFFFFF" w:sz="0"/>
              <w:bottom w:val="none" w:color="FFFFFF" w:sz="0"/>
              <w:right w:val="none" w:color="FFFFFF" w:sz="0"/>
            </w:tcBorders>
            <w:tcMar>
              <w:top w:type="dxa" w:w="200"/>
              <w:bottom w:type="dxa" w:w="200"/>
            </w:tcMar>
          </w:tcPr>
          <w:p>
            <w:pPr>
              <w:spacing w:after="0" w:before="0" w:line="276"/>
              <w:jc w:val="left"/>
            </w:pPr>
            <w:r>
              <w:rPr>
                <w:rFonts w:ascii="Times New Roman" w:cs="Times New Roman" w:eastAsia="Times New Roman" w:hAnsi="Times New Roman"/>
                <w:sz w:val="24"/>
                <w:szCs w:val="24"/>
              </w:rPr>
              <w:t xml:space="preserve">Head of Department:</w:t>
            </w:r>
          </w:p>
          <w:p>
            <w:pPr>
              <w:spacing w:after="0" w:before="0" w:line="276"/>
              <w:jc w:val="left"/>
            </w:pPr>
            <w:r>
              <w:rPr>
                <w:rFonts w:ascii="Times New Roman" w:cs="Times New Roman" w:eastAsia="Times New Roman" w:hAnsi="Times New Roman"/>
                <w:sz w:val="24"/>
                <w:szCs w:val="24"/>
              </w:rPr>
              <w:t xml:space="preserve">(Chair)</w:t>
            </w:r>
          </w:p>
        </w:tc>
        <w:tc>
          <w:tcPr>
            <w:tcW w:type="dxa" w:w="6760"/>
            <w:tcBorders>
              <w:top w:val="none" w:color="FFFFFF" w:sz="0"/>
              <w:left w:val="none" w:color="FFFFFF" w:sz="0"/>
              <w:bottom w:val="none" w:color="FFFFFF" w:sz="0"/>
              <w:right w:val="none" w:color="FFFFFF" w:sz="0"/>
            </w:tcBorders>
            <w:tcMar>
              <w:top w:type="dxa" w:w="200"/>
              <w:bottom w:type="dxa" w:w="200"/>
            </w:tcMar>
          </w:tcPr>
          <w:p>
            <w:pPr>
              <w:spacing w:after="40" w:before="520" w:line="320"/>
              <w:jc w:val="center"/>
            </w:pPr>
            <w:r>
              <w:rPr>
                <w:rFonts w:ascii="Times New Roman" w:cs="Times New Roman" w:eastAsia="Times New Roman" w:hAnsi="Times New Roman"/>
                <w:sz w:val="24"/>
                <w:szCs w:val="24"/>
              </w:rPr>
              <w:t xml:space="preserve">________________________________</w:t>
            </w:r>
          </w:p>
          <w:p>
            <w:pPr>
              <w:spacing w:after="0" w:before="0" w:line="276"/>
              <w:jc w:val="center"/>
            </w:pPr>
            <w:r>
              <w:rPr>
                <w:rFonts w:ascii="Times New Roman" w:cs="Times New Roman" w:eastAsia="Times New Roman" w:hAnsi="Times New Roman"/>
                <w:sz w:val="24"/>
                <w:szCs w:val="24"/>
                <w:highlight w:val="yellow"/>
                <w:highlightCs w:val="yellow"/>
              </w:rPr>
              <w:t xml:space="preserve">[Head of Department Name]</w:t>
            </w:r>
          </w:p>
          <w:p>
            <w:pPr>
              <w:spacing w:after="0" w:before="0" w:line="276"/>
              <w:jc w:val="center"/>
            </w:pPr>
            <w:r>
              <w:rPr>
                <w:rFonts w:ascii="Times New Roman" w:cs="Times New Roman" w:eastAsia="Times New Roman" w:hAnsi="Times New Roman"/>
                <w:sz w:val="24"/>
                <w:szCs w:val="24"/>
                <w:highlight w:val="yellow"/>
                <w:highlightCs w:val="yellow"/>
              </w:rPr>
              <w:t xml:space="preserve">[Designation and Chairperson], [Department]</w:t>
            </w:r>
          </w:p>
          <w:p>
            <w:pPr>
              <w:spacing w:after="0" w:before="0" w:line="276"/>
              <w:jc w:val="center"/>
            </w:pPr>
            <w:r>
              <w:rPr>
                <w:rFonts w:ascii="Times New Roman" w:cs="Times New Roman" w:eastAsia="Times New Roman" w:hAnsi="Times New Roman"/>
                <w:sz w:val="24"/>
                <w:szCs w:val="24"/>
                <w:highlight w:val="yellow"/>
                <w:highlightCs w:val="yellow"/>
              </w:rPr>
              <w:t xml:space="preserve">[University Name]</w:t>
            </w:r>
          </w:p>
        </w:tc>
      </w:tr>
    </w:tbl>
    <w:p>
      <w:pPr>
        <w:pageBreakBefore/>
        <w:spacing w:after="120"/>
        <w:jc w:val="center"/>
      </w:pPr>
      <w:r>
        <w:rPr>
          <w:rFonts w:ascii="Times New Roman" w:cs="Times New Roman" w:eastAsia="Times New Roman" w:hAnsi="Times New Roman"/>
          <w:b/>
          <w:bCs/>
          <w:sz w:val="24"/>
          <w:szCs w:val="24"/>
        </w:rPr>
        <w:t xml:space="preserve">ABSTRACT</w:t>
      </w:r>
    </w:p>
    <w:p>
      <w:pPr>
        <w:spacing w:after="120" w:line="288"/>
        <w:jc w:val="both"/>
      </w:pPr>
      <w:r>
        <w:rPr>
          <w:rFonts w:ascii="Times New Roman" w:cs="Times New Roman" w:eastAsia="Times New Roman" w:hAnsi="Times New Roman"/>
        </w:rPr>
        <w:t xml:space="preserve">This thesis evaluates a layered smart cyber defence framework against backdoor attacks on deep learning models, using image classification as a controlled testbed with implications for intrusion detection systems. In a backdoor attack, an adversary who controls part of the training data implants a hidden trigger so that the model behaves normally on clean inputs but outputs an attacker-chosen class when the trigger is present. A prototype was implemented with data-level poison detection (Isolation Forest, Activation Clustering and Spectral Signatures), model-level analysis (a Neural Cleanse-style search, STRIP and ABS-style stimulation), fine-pruning-based recovery, and a simulated access-control and monitoring layer. Experiments use a BadNets attack on CIFAR-10 with a simple CNN and are assessed through clean accuracy (CA), attack success rate (ASR), detection accuracy, true and false positive rates, recovery rate and computational overhead. At 10% poisoning the undefended model reaches 78.40% CA and 94.17% ASR. Spectral Signatures and Activation Clustering detect poison with 97.92% and 97.42% accuracy, but their true positive rates fall below 40% at 1% and 5% poisoning. Fine-pruning at 40% lowers ASR to 40.54% (56.94% recovery rate) for a 5.16 percentage-point loss of clean accuracy without eliminating the backdoor, and a sequential detect-filter-retrain-prune pipeline raised ASR to 98.58%. Detection alone therefore did not remove the backdoor, and defence effectiveness depends on the poisoning rate and defender assumptions. Experiments are limited to image classification; extension to intrusion detection is discussed as future work.</w:t>
      </w:r>
    </w:p>
    <w:p>
      <w:pPr>
        <w:spacing w:after="120" w:line="288"/>
        <w:jc w:val="both"/>
      </w:pPr>
      <w:r>
        <w:rPr>
          <w:rFonts w:ascii="Times New Roman" w:cs="Times New Roman" w:eastAsia="Times New Roman" w:hAnsi="Times New Roman"/>
          <w:b/>
          <w:bCs/>
        </w:rPr>
        <w:t xml:space="preserve">Index Terms</w:t>
      </w:r>
      <w:r>
        <w:rPr>
          <w:rFonts w:ascii="Times New Roman" w:cs="Times New Roman" w:eastAsia="Times New Roman" w:hAnsi="Times New Roman"/>
        </w:rPr>
        <w:t xml:space="preserve">—Activation Clustering, backdoor attacks, data poisoning, deep learning security, fine-pruning, intrusion detection, Neural Cleanse, smart cyber defence, Spectral Signatures, STRIP.</w:t>
      </w:r>
    </w:p>
    <w:p>
      <w:pPr>
        <w:pageBreakBefore/>
        <w:spacing w:after="360" w:before="480" w:line="320"/>
        <w:jc w:val="left"/>
      </w:pPr>
      <w:r>
        <w:rPr>
          <w:rFonts w:ascii="Times New Roman" w:cs="Times New Roman" w:eastAsia="Times New Roman" w:hAnsi="Times New Roman"/>
          <w:b/>
          <w:bCs/>
          <w:sz w:val="40"/>
          <w:szCs w:val="40"/>
        </w:rPr>
        <w:t xml:space="preserve">Acknowledgement</w:t>
      </w:r>
    </w:p>
    <w:p>
      <w:pPr>
        <w:spacing w:after="160" w:before="0" w:line="320"/>
        <w:jc w:val="both"/>
      </w:pPr>
      <w:r>
        <w:rPr>
          <w:rFonts w:ascii="Times New Roman" w:cs="Times New Roman" w:eastAsia="Times New Roman" w:hAnsi="Times New Roman"/>
          <w:sz w:val="24"/>
          <w:szCs w:val="24"/>
        </w:rPr>
        <w:t xml:space="preserve">The author would like to express sincere gratitude to the supervisor, </w:t>
      </w:r>
      <w:r>
        <w:rPr>
          <w:rFonts w:ascii="Times New Roman" w:cs="Times New Roman" w:eastAsia="Times New Roman" w:hAnsi="Times New Roman"/>
          <w:sz w:val="24"/>
          <w:szCs w:val="24"/>
          <w:highlight w:val="yellow"/>
          <w:highlightCs w:val="yellow"/>
        </w:rPr>
        <w:t xml:space="preserve">[Supervisor Name]</w:t>
      </w:r>
      <w:r>
        <w:rPr>
          <w:rFonts w:ascii="Times New Roman" w:cs="Times New Roman" w:eastAsia="Times New Roman" w:hAnsi="Times New Roman"/>
          <w:sz w:val="24"/>
          <w:szCs w:val="24"/>
        </w:rPr>
        <w:t xml:space="preserve">, whose supervision, guidance and suggestions shaped this work from its first idea to its final form. The author is also thankful to the faculty members of the </w:t>
      </w:r>
      <w:r>
        <w:rPr>
          <w:rFonts w:ascii="Times New Roman" w:cs="Times New Roman" w:eastAsia="Times New Roman" w:hAnsi="Times New Roman"/>
          <w:sz w:val="24"/>
          <w:szCs w:val="24"/>
          <w:highlight w:val="yellow"/>
          <w:highlightCs w:val="yellow"/>
        </w:rPr>
        <w:t xml:space="preserve">[Department]</w:t>
      </w:r>
      <w:r>
        <w:rPr>
          <w:rFonts w:ascii="Times New Roman" w:cs="Times New Roman" w:eastAsia="Times New Roman" w:hAnsi="Times New Roman"/>
          <w:sz w:val="24"/>
          <w:szCs w:val="24"/>
        </w:rPr>
        <w:t xml:space="preserve"> at </w:t>
      </w:r>
      <w:r>
        <w:rPr>
          <w:rFonts w:ascii="Times New Roman" w:cs="Times New Roman" w:eastAsia="Times New Roman" w:hAnsi="Times New Roman"/>
          <w:sz w:val="24"/>
          <w:szCs w:val="24"/>
          <w:highlight w:val="yellow"/>
          <w:highlightCs w:val="yellow"/>
        </w:rPr>
        <w:t xml:space="preserve">[University Name]</w:t>
      </w:r>
      <w:r>
        <w:rPr>
          <w:rFonts w:ascii="Times New Roman" w:cs="Times New Roman" w:eastAsia="Times New Roman" w:hAnsi="Times New Roman"/>
          <w:sz w:val="24"/>
          <w:szCs w:val="24"/>
        </w:rPr>
        <w:t xml:space="preserve"> for their support, and to family and friends for their encouragement and patience throughout this study.</w:t>
      </w:r>
    </w:p>
    <w:p>
      <w:pPr>
        <w:spacing w:after="160" w:before="0" w:line="320"/>
        <w:jc w:val="both"/>
      </w:pPr>
      <w:r>
        <w:rPr>
          <w:rFonts w:ascii="Times New Roman" w:cs="Times New Roman" w:eastAsia="Times New Roman" w:hAnsi="Times New Roman"/>
          <w:sz w:val="24"/>
          <w:szCs w:val="24"/>
          <w:highlight w:val="yellow"/>
          <w:highlightCs w:val="yellow"/>
        </w:rPr>
        <w:t xml:space="preserve">[Optional, delete if not required by your university: AI-based writing and editing assistance was used while preparing this thesis. The author reviewed all content, verified the experimental results against the original experiment files, and takes full responsibility for the thesis.]</w:t>
      </w:r>
    </w:p>
    <w:p>
      <w:pPr>
        <w:pageBreakBefore/>
        <w:spacing w:after="360" w:before="480" w:line="320"/>
        <w:jc w:val="left"/>
      </w:pPr>
      <w:r>
        <w:rPr>
          <w:rFonts w:ascii="Times New Roman" w:cs="Times New Roman" w:eastAsia="Times New Roman" w:hAnsi="Times New Roman"/>
          <w:b/>
          <w:bCs/>
          <w:sz w:val="40"/>
          <w:szCs w:val="40"/>
        </w:rPr>
        <w:t xml:space="preserve">Nomenclature</w:t>
      </w:r>
    </w:p>
    <w:p>
      <w:pPr>
        <w:spacing w:after="240" w:before="0" w:line="320"/>
        <w:jc w:val="both"/>
      </w:pPr>
      <w:r>
        <w:rPr>
          <w:rFonts w:ascii="Times New Roman" w:cs="Times New Roman" w:eastAsia="Times New Roman" w:hAnsi="Times New Roman"/>
          <w:sz w:val="24"/>
          <w:szCs w:val="24"/>
        </w:rPr>
        <w:t xml:space="preserve">The following list describes the symbols and abbreviations used in the body of this document.</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ABS</w:t>
      </w:r>
      <w:r>
        <w:rPr>
          <w:rFonts w:ascii="Times New Roman" w:cs="Times New Roman" w:eastAsia="Times New Roman" w:hAnsi="Times New Roman"/>
          <w:sz w:val="24"/>
          <w:szCs w:val="24"/>
        </w:rPr>
        <w:t xml:space="preserve">	Artificial Brain Stimulation (neuron stimulation defence)</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AC</w:t>
      </w:r>
      <w:r>
        <w:rPr>
          <w:rFonts w:ascii="Times New Roman" w:cs="Times New Roman" w:eastAsia="Times New Roman" w:hAnsi="Times New Roman"/>
          <w:sz w:val="24"/>
          <w:szCs w:val="24"/>
        </w:rPr>
        <w:t xml:space="preserve">	Activation Clustering</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ASR</w:t>
      </w:r>
      <w:r>
        <w:rPr>
          <w:rFonts w:ascii="Times New Roman" w:cs="Times New Roman" w:eastAsia="Times New Roman" w:hAnsi="Times New Roman"/>
          <w:sz w:val="24"/>
          <w:szCs w:val="24"/>
        </w:rPr>
        <w:t xml:space="preserve">	Attack Success Rate</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CA</w:t>
      </w:r>
      <w:r>
        <w:rPr>
          <w:rFonts w:ascii="Times New Roman" w:cs="Times New Roman" w:eastAsia="Times New Roman" w:hAnsi="Times New Roman"/>
          <w:sz w:val="24"/>
          <w:szCs w:val="24"/>
        </w:rPr>
        <w:t xml:space="preserve">	Clean Accuracy</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CNN</w:t>
      </w:r>
      <w:r>
        <w:rPr>
          <w:rFonts w:ascii="Times New Roman" w:cs="Times New Roman" w:eastAsia="Times New Roman" w:hAnsi="Times New Roman"/>
          <w:sz w:val="24"/>
          <w:szCs w:val="24"/>
        </w:rPr>
        <w:t xml:space="preserve">	Convolutional Neural Network</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CPU</w:t>
      </w:r>
      <w:r>
        <w:rPr>
          <w:rFonts w:ascii="Times New Roman" w:cs="Times New Roman" w:eastAsia="Times New Roman" w:hAnsi="Times New Roman"/>
          <w:sz w:val="24"/>
          <w:szCs w:val="24"/>
        </w:rPr>
        <w:t xml:space="preserve">	Central Processing Unit</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FN</w:t>
      </w:r>
      <w:r>
        <w:rPr>
          <w:rFonts w:ascii="Times New Roman" w:cs="Times New Roman" w:eastAsia="Times New Roman" w:hAnsi="Times New Roman"/>
          <w:sz w:val="24"/>
          <w:szCs w:val="24"/>
        </w:rPr>
        <w:t xml:space="preserve">	False Negative</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FP</w:t>
      </w:r>
      <w:r>
        <w:rPr>
          <w:rFonts w:ascii="Times New Roman" w:cs="Times New Roman" w:eastAsia="Times New Roman" w:hAnsi="Times New Roman"/>
          <w:sz w:val="24"/>
          <w:szCs w:val="24"/>
        </w:rPr>
        <w:t xml:space="preserve">	False Positive</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FPR</w:t>
      </w:r>
      <w:r>
        <w:rPr>
          <w:rFonts w:ascii="Times New Roman" w:cs="Times New Roman" w:eastAsia="Times New Roman" w:hAnsi="Times New Roman"/>
          <w:sz w:val="24"/>
          <w:szCs w:val="24"/>
        </w:rPr>
        <w:t xml:space="preserve">	False Positive Rate</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IDS</w:t>
      </w:r>
      <w:r>
        <w:rPr>
          <w:rFonts w:ascii="Times New Roman" w:cs="Times New Roman" w:eastAsia="Times New Roman" w:hAnsi="Times New Roman"/>
          <w:sz w:val="24"/>
          <w:szCs w:val="24"/>
        </w:rPr>
        <w:t xml:space="preserve">	Intrusion Detection System</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IF</w:t>
      </w:r>
      <w:r>
        <w:rPr>
          <w:rFonts w:ascii="Times New Roman" w:cs="Times New Roman" w:eastAsia="Times New Roman" w:hAnsi="Times New Roman"/>
          <w:sz w:val="24"/>
          <w:szCs w:val="24"/>
        </w:rPr>
        <w:t xml:space="preserve">	Isolation Forest</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LIME</w:t>
      </w:r>
      <w:r>
        <w:rPr>
          <w:rFonts w:ascii="Times New Roman" w:cs="Times New Roman" w:eastAsia="Times New Roman" w:hAnsi="Times New Roman"/>
          <w:sz w:val="24"/>
          <w:szCs w:val="24"/>
        </w:rPr>
        <w:t xml:space="preserve">	Local Interpretable Model-Agnostic Explanations</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ML</w:t>
      </w:r>
      <w:r>
        <w:rPr>
          <w:rFonts w:ascii="Times New Roman" w:cs="Times New Roman" w:eastAsia="Times New Roman" w:hAnsi="Times New Roman"/>
          <w:sz w:val="24"/>
          <w:szCs w:val="24"/>
        </w:rPr>
        <w:t xml:space="preserve">	Machine Learning</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pp</w:t>
      </w:r>
      <w:r>
        <w:rPr>
          <w:rFonts w:ascii="Times New Roman" w:cs="Times New Roman" w:eastAsia="Times New Roman" w:hAnsi="Times New Roman"/>
          <w:sz w:val="24"/>
          <w:szCs w:val="24"/>
        </w:rPr>
        <w:t xml:space="preserve">	Percentage points</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RR</w:t>
      </w:r>
      <w:r>
        <w:rPr>
          <w:rFonts w:ascii="Times New Roman" w:cs="Times New Roman" w:eastAsia="Times New Roman" w:hAnsi="Times New Roman"/>
          <w:sz w:val="24"/>
          <w:szCs w:val="24"/>
        </w:rPr>
        <w:t xml:space="preserve">	Recovery Rate (relative reduction of ASR)</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SHAP</w:t>
      </w:r>
      <w:r>
        <w:rPr>
          <w:rFonts w:ascii="Times New Roman" w:cs="Times New Roman" w:eastAsia="Times New Roman" w:hAnsi="Times New Roman"/>
          <w:sz w:val="24"/>
          <w:szCs w:val="24"/>
        </w:rPr>
        <w:t xml:space="preserve">	SHapley Additive exPlanations</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SS</w:t>
      </w:r>
      <w:r>
        <w:rPr>
          <w:rFonts w:ascii="Times New Roman" w:cs="Times New Roman" w:eastAsia="Times New Roman" w:hAnsi="Times New Roman"/>
          <w:sz w:val="24"/>
          <w:szCs w:val="24"/>
        </w:rPr>
        <w:t xml:space="preserve">	Spectral Signatures</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STRIP</w:t>
      </w:r>
      <w:r>
        <w:rPr>
          <w:rFonts w:ascii="Times New Roman" w:cs="Times New Roman" w:eastAsia="Times New Roman" w:hAnsi="Times New Roman"/>
          <w:sz w:val="24"/>
          <w:szCs w:val="24"/>
        </w:rPr>
        <w:t xml:space="preserve">	STRong Intentional Perturbation</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TN</w:t>
      </w:r>
      <w:r>
        <w:rPr>
          <w:rFonts w:ascii="Times New Roman" w:cs="Times New Roman" w:eastAsia="Times New Roman" w:hAnsi="Times New Roman"/>
          <w:sz w:val="24"/>
          <w:szCs w:val="24"/>
        </w:rPr>
        <w:t xml:space="preserve">	True Negative</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TP</w:t>
      </w:r>
      <w:r>
        <w:rPr>
          <w:rFonts w:ascii="Times New Roman" w:cs="Times New Roman" w:eastAsia="Times New Roman" w:hAnsi="Times New Roman"/>
          <w:sz w:val="24"/>
          <w:szCs w:val="24"/>
        </w:rPr>
        <w:t xml:space="preserve">	True Positive</w:t>
      </w:r>
    </w:p>
    <w:p>
      <w:pPr>
        <w:tabs>
          <w:tab w:val="left" w:pos="1800"/>
        </w:tabs>
        <w:spacing w:after="80" w:before="0" w:line="300"/>
        <w:ind w:left="1800" w:hanging="1800"/>
        <w:jc w:val="left"/>
      </w:pPr>
      <w:r>
        <w:rPr>
          <w:rFonts w:ascii="Times New Roman" w:cs="Times New Roman" w:eastAsia="Times New Roman" w:hAnsi="Times New Roman"/>
          <w:b/>
          <w:bCs/>
          <w:sz w:val="24"/>
          <w:szCs w:val="24"/>
        </w:rPr>
        <w:t xml:space="preserve">TPR</w:t>
      </w:r>
      <w:r>
        <w:rPr>
          <w:rFonts w:ascii="Times New Roman" w:cs="Times New Roman" w:eastAsia="Times New Roman" w:hAnsi="Times New Roman"/>
          <w:sz w:val="24"/>
          <w:szCs w:val="24"/>
        </w:rPr>
        <w:t xml:space="preserve">	True Positive Rate</w:t>
      </w:r>
    </w:p>
    <w:p>
      <w:pPr>
        <w:pageBreakBefore/>
        <w:spacing w:after="120" w:before="240"/>
        <w:jc w:val="center"/>
      </w:pPr>
      <w:r>
        <w:rPr>
          <w:rFonts w:ascii="Times New Roman" w:cs="Times New Roman" w:eastAsia="Times New Roman" w:hAnsi="Times New Roman"/>
          <w:b/>
          <w:bCs/>
          <w:sz w:val="24"/>
          <w:szCs w:val="24"/>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start="1" w:fmt="lowerRoman"/>
          <w:docGrid w:linePitch="360"/>
        </w:sectPr>
      </w:pPr>
    </w:p>
    <w:p>
      <w:pPr>
        <w:pStyle w:val="Heading1"/>
        <w:keepNext/>
        <w:spacing w:after="160" w:before="280"/>
        <w:jc w:val="center"/>
      </w:pPr>
      <w:r>
        <w:rPr>
          <w:rFonts w:ascii="Times New Roman" w:cs="Times New Roman" w:eastAsia="Times New Roman" w:hAnsi="Times New Roman"/>
          <w:b/>
          <w:bCs/>
          <w:sz w:val="24"/>
          <w:szCs w:val="24"/>
        </w:rPr>
        <w:t xml:space="preserve">I. INTRODUCTION</w:t>
      </w:r>
    </w:p>
    <w:p>
      <w:pPr>
        <w:pStyle w:val="Heading2"/>
        <w:keepNext/>
        <w:spacing w:after="100" w:before="180"/>
      </w:pPr>
      <w:r>
        <w:rPr>
          <w:rFonts w:ascii="Times New Roman" w:cs="Times New Roman" w:eastAsia="Times New Roman" w:hAnsi="Times New Roman"/>
          <w:b/>
          <w:bCs/>
          <w:i/>
          <w:iCs/>
          <w:sz w:val="22"/>
          <w:szCs w:val="22"/>
        </w:rPr>
        <w:t xml:space="preserve">A. Motivation</w:t>
      </w:r>
    </w:p>
    <w:p>
      <w:pPr>
        <w:spacing w:after="120" w:line="288"/>
        <w:ind w:firstLine="360"/>
        <w:jc w:val="both"/>
      </w:pPr>
      <w:r>
        <w:rPr>
          <w:rFonts w:ascii="Times New Roman" w:cs="Times New Roman" w:eastAsia="Times New Roman" w:hAnsi="Times New Roman"/>
        </w:rPr>
        <w:t xml:space="preserve">Deep neural networks now sit inside many security-critical pipelines. In network security they are used to learn representations of traffic and to flag anomalous or malicious flows, for example through ensembles of autoencoders for online detection [1], and they are trained and benchmarked on public corpora such as CICIDS2017 [2] and the NSL-KDD derivative of KDD Cup 99 [3]. In smart manufacturing, the same techniques monitor industrial networks and sensor streams, where a missed intrusion can translate into physical damage or production loss. Machine learning for intrusion detection has long been recognised as harder to deploy safely than in other domains because adversaries adapt and the cost of errors is asymmetric [4].</w:t>
      </w:r>
    </w:p>
    <w:p>
      <w:pPr>
        <w:spacing w:after="120" w:line="288"/>
        <w:ind w:firstLine="360"/>
        <w:jc w:val="both"/>
      </w:pPr>
      <w:r>
        <w:rPr>
          <w:rFonts w:ascii="Times New Roman" w:cs="Times New Roman" w:eastAsia="Times New Roman" w:hAnsi="Times New Roman"/>
        </w:rPr>
        <w:t xml:space="preserve">A particularly insidious threat arises before a model is ever deployed. Training pipelines routinely consume data from third parties, pre-trained checkpoints and outsourced training services. A backdoor attack exploits this supply chain: the adversary inserts a small number of trigger-bearing training samples relabelled to a target class, so that the trained model retains normal accuracy but misclassifies any input carrying the trigger [5]. Subsequent work generalised the idea to targeted data-poisoning backdoors with small, hard-to-notice triggers [6] and to trojaning of already-trained networks [7]. Surveys of the area document the breadth of attack and defence families [8], and systematisations of dataset security stress that training-time threats cannot be handled by test-time defences alone [9]. For an intrusion detection system the consequence is concrete: a backdoored detector can be made to label attacker traffic carrying a chosen feature pattern as benign.</w:t>
      </w:r>
    </w:p>
    <w:p>
      <w:pPr>
        <w:spacing w:after="120" w:line="288"/>
        <w:ind w:firstLine="360"/>
        <w:jc w:val="both"/>
      </w:pPr>
      <w:r>
        <w:rPr>
          <w:rFonts w:ascii="Times New Roman" w:cs="Times New Roman" w:eastAsia="Times New Roman" w:hAnsi="Times New Roman"/>
        </w:rPr>
        <w:t xml:space="preserve">Defences have been proposed at several points of the pipeline. Neural Cleanse reverse-engineers minimal triggers per class [10]; STRIP perturbs inputs at run time and watches prediction entropy [11]; Activation Clustering [12] and Spectral Signatures [13] look for poisoned samples in latent space; Fine-Pruning removes dormant neurons and fine-tunes [14]; ABS stimulates neurons to find compromised ones [15]; and generic anomaly detectors such as Isolation Forest [16] can be applied to learned features. Each of these makes different assumptions about what the defender can see and what the attacker can do, and published evaluations rarely report them together under one threat model, one dataset and one set of metrics. The reference smart cyber defence framework that motivates this thesis proposes exactly such a multi-layer arrangement, covering data protection, model protection, access control and monitoring, but it still requires an empirical evaluation of how its layers behave when combined.</w:t>
      </w:r>
    </w:p>
    <w:p>
      <w:pPr>
        <w:pStyle w:val="Heading2"/>
        <w:keepNext/>
        <w:spacing w:after="100" w:before="180"/>
      </w:pPr>
      <w:r>
        <w:rPr>
          <w:rFonts w:ascii="Times New Roman" w:cs="Times New Roman" w:eastAsia="Times New Roman" w:hAnsi="Times New Roman"/>
          <w:b/>
          <w:bCs/>
          <w:i/>
          <w:iCs/>
          <w:sz w:val="22"/>
          <w:szCs w:val="22"/>
        </w:rPr>
        <w:t xml:space="preserve">B. Problem Statement and Research Gap</w:t>
      </w:r>
    </w:p>
    <w:p>
      <w:pPr>
        <w:spacing w:after="120" w:line="288"/>
        <w:ind w:firstLine="360"/>
        <w:jc w:val="both"/>
      </w:pPr>
      <w:r>
        <w:rPr>
          <w:rFonts w:ascii="Times New Roman" w:cs="Times New Roman" w:eastAsia="Times New Roman" w:hAnsi="Times New Roman"/>
        </w:rPr>
        <w:t xml:space="preserve">The gap addressed here is the lack of an empirical, reproducible assessment of how a layered defence behaves when its components are actually combined. Three questions are rarely answered in one study: (i) how detection quality changes as the poisoning rate falls, (ii) whether detecting and filtering poison is sufficient to remove a backdoor, and (iii) what recovery costs in accuracy and compute. Without this information a practitioner cannot judge which layer to rely on or whether combining layers helps.</w:t>
      </w:r>
    </w:p>
    <w:p>
      <w:pPr>
        <w:pStyle w:val="Heading2"/>
        <w:keepNext/>
        <w:spacing w:after="100" w:before="180"/>
      </w:pPr>
      <w:r>
        <w:rPr>
          <w:rFonts w:ascii="Times New Roman" w:cs="Times New Roman" w:eastAsia="Times New Roman" w:hAnsi="Times New Roman"/>
          <w:b/>
          <w:bCs/>
          <w:i/>
          <w:iCs/>
          <w:sz w:val="22"/>
          <w:szCs w:val="22"/>
        </w:rPr>
        <w:t xml:space="preserve">C. Research Questions and Objectives</w:t>
      </w:r>
    </w:p>
    <w:p>
      <w:pPr>
        <w:spacing w:after="120" w:line="288"/>
        <w:jc w:val="both"/>
      </w:pPr>
      <w:r>
        <w:rPr>
          <w:rFonts w:ascii="Times New Roman" w:cs="Times New Roman" w:eastAsia="Times New Roman" w:hAnsi="Times New Roman"/>
        </w:rPr>
        <w:t xml:space="preserve">The thesis follows the guidelines supplied by the supervisor and is organised around four research questions:</w:t>
      </w:r>
    </w:p>
    <w:p>
      <w:pPr>
        <w:pStyle w:val="ListParagraph"/>
        <w:numPr>
          <w:ilvl w:val="0"/>
          <w:numId w:val="2"/>
        </w:numPr>
        <w:spacing w:after="60" w:line="276"/>
        <w:jc w:val="both"/>
      </w:pPr>
      <w:r>
        <w:rPr>
          <w:rFonts w:ascii="Times New Roman" w:cs="Times New Roman" w:eastAsia="Times New Roman" w:hAnsi="Times New Roman"/>
          <w:b/>
          <w:bCs/>
        </w:rPr>
        <w:t xml:space="preserve">RQ1.</w:t>
      </w:r>
      <w:r>
        <w:rPr>
          <w:rFonts w:ascii="Times New Roman" w:cs="Times New Roman" w:eastAsia="Times New Roman" w:hAnsi="Times New Roman"/>
        </w:rPr>
        <w:t xml:space="preserve"> How does a BadNets backdoor behave as a function of poisoning rate, trigger size, trigger position and trigger shape?</w:t>
      </w:r>
    </w:p>
    <w:p>
      <w:pPr>
        <w:pStyle w:val="ListParagraph"/>
        <w:numPr>
          <w:ilvl w:val="0"/>
          <w:numId w:val="2"/>
        </w:numPr>
        <w:spacing w:after="60" w:line="276"/>
        <w:jc w:val="both"/>
      </w:pPr>
      <w:r>
        <w:rPr>
          <w:rFonts w:ascii="Times New Roman" w:cs="Times New Roman" w:eastAsia="Times New Roman" w:hAnsi="Times New Roman"/>
          <w:b/>
          <w:bCs/>
        </w:rPr>
        <w:t xml:space="preserve">RQ2.</w:t>
      </w:r>
      <w:r>
        <w:rPr>
          <w:rFonts w:ascii="Times New Roman" w:cs="Times New Roman" w:eastAsia="Times New Roman" w:hAnsi="Times New Roman"/>
        </w:rPr>
        <w:t xml:space="preserve"> How accurately do data-level and model-level detectors identify poisoned samples or backdoored models, and how does this change with the injection rate?</w:t>
      </w:r>
    </w:p>
    <w:p>
      <w:pPr>
        <w:pStyle w:val="ListParagraph"/>
        <w:numPr>
          <w:ilvl w:val="0"/>
          <w:numId w:val="2"/>
        </w:numPr>
        <w:spacing w:after="60" w:line="276"/>
        <w:jc w:val="both"/>
      </w:pPr>
      <w:r>
        <w:rPr>
          <w:rFonts w:ascii="Times New Roman" w:cs="Times New Roman" w:eastAsia="Times New Roman" w:hAnsi="Times New Roman"/>
          <w:b/>
          <w:bCs/>
        </w:rPr>
        <w:t xml:space="preserve">RQ3.</w:t>
      </w:r>
      <w:r>
        <w:rPr>
          <w:rFonts w:ascii="Times New Roman" w:cs="Times New Roman" w:eastAsia="Times New Roman" w:hAnsi="Times New Roman"/>
        </w:rPr>
        <w:t xml:space="preserve"> How much of the backdoor can be removed by fine-pruning, and at what cost in clean accuracy, training time and inference overhead?</w:t>
      </w:r>
    </w:p>
    <w:p>
      <w:pPr>
        <w:pStyle w:val="ListParagraph"/>
        <w:numPr>
          <w:ilvl w:val="0"/>
          <w:numId w:val="2"/>
        </w:numPr>
        <w:spacing w:after="60" w:line="276"/>
        <w:jc w:val="both"/>
      </w:pPr>
      <w:r>
        <w:rPr>
          <w:rFonts w:ascii="Times New Roman" w:cs="Times New Roman" w:eastAsia="Times New Roman" w:hAnsi="Times New Roman"/>
          <w:b/>
          <w:bCs/>
        </w:rPr>
        <w:t xml:space="preserve">RQ4.</w:t>
      </w:r>
      <w:r>
        <w:rPr>
          <w:rFonts w:ascii="Times New Roman" w:cs="Times New Roman" w:eastAsia="Times New Roman" w:hAnsi="Times New Roman"/>
        </w:rPr>
        <w:t xml:space="preserve"> Does composing detection, recovery and monitoring layers improve on the best single layer?</w:t>
      </w:r>
    </w:p>
    <w:p>
      <w:pPr>
        <w:pStyle w:val="Heading2"/>
        <w:keepNext/>
        <w:spacing w:after="100" w:before="180"/>
      </w:pPr>
      <w:r>
        <w:rPr>
          <w:rFonts w:ascii="Times New Roman" w:cs="Times New Roman" w:eastAsia="Times New Roman" w:hAnsi="Times New Roman"/>
          <w:b/>
          <w:bCs/>
          <w:i/>
          <w:iCs/>
          <w:sz w:val="22"/>
          <w:szCs w:val="22"/>
        </w:rPr>
        <w:t xml:space="preserve">D. Contributions</w:t>
      </w:r>
    </w:p>
    <w:p>
      <w:pPr>
        <w:pStyle w:val="ListParagraph"/>
        <w:numPr>
          <w:ilvl w:val="0"/>
          <w:numId w:val="3"/>
        </w:numPr>
        <w:spacing w:after="60" w:line="276"/>
        <w:jc w:val="both"/>
      </w:pPr>
      <w:r>
        <w:rPr>
          <w:rFonts w:ascii="Times New Roman" w:cs="Times New Roman" w:eastAsia="Times New Roman" w:hAnsi="Times New Roman"/>
        </w:rPr>
        <w:t xml:space="preserve">A modular prototype that maps each implemented component onto a layer of the smart cyber defence framework, with an explicit threat model per experiment.</w:t>
      </w:r>
    </w:p>
    <w:p>
      <w:pPr>
        <w:pStyle w:val="ListParagraph"/>
        <w:numPr>
          <w:ilvl w:val="0"/>
          <w:numId w:val="3"/>
        </w:numPr>
        <w:spacing w:after="60" w:line="276"/>
        <w:jc w:val="both"/>
      </w:pPr>
      <w:r>
        <w:rPr>
          <w:rFonts w:ascii="Times New Roman" w:cs="Times New Roman" w:eastAsia="Times New Roman" w:hAnsi="Times New Roman"/>
        </w:rPr>
        <w:t xml:space="preserve">A quantitative evaluation using CA, ASR, detection accuracy, TPR, FPR, recovery rate, training time, inference latency and memory.</w:t>
      </w:r>
    </w:p>
    <w:p>
      <w:pPr>
        <w:pStyle w:val="ListParagraph"/>
        <w:numPr>
          <w:ilvl w:val="0"/>
          <w:numId w:val="3"/>
        </w:numPr>
        <w:spacing w:after="60" w:line="276"/>
        <w:jc w:val="both"/>
      </w:pPr>
      <w:r>
        <w:rPr>
          <w:rFonts w:ascii="Times New Roman" w:cs="Times New Roman" w:eastAsia="Times New Roman" w:hAnsi="Times New Roman"/>
        </w:rPr>
        <w:t xml:space="preserve">An injection-rate study (1%, 5%, 10%) showing that the strongest detectors at 10% poisoning fail at lower rates.</w:t>
      </w:r>
    </w:p>
    <w:p>
      <w:pPr>
        <w:pStyle w:val="ListParagraph"/>
        <w:numPr>
          <w:ilvl w:val="0"/>
          <w:numId w:val="3"/>
        </w:numPr>
        <w:spacing w:after="60" w:line="276"/>
        <w:jc w:val="both"/>
      </w:pPr>
      <w:r>
        <w:rPr>
          <w:rFonts w:ascii="Times New Roman" w:cs="Times New Roman" w:eastAsia="Times New Roman" w:hAnsi="Times New Roman"/>
        </w:rPr>
        <w:t xml:space="preserve">An ablation study and a sequential-pipeline experiment that expose a negative result: filtering followed by pruning did not remove the backdoor.</w:t>
      </w:r>
    </w:p>
    <w:p>
      <w:pPr>
        <w:pStyle w:val="ListParagraph"/>
        <w:numPr>
          <w:ilvl w:val="0"/>
          <w:numId w:val="3"/>
        </w:numPr>
        <w:spacing w:after="60" w:line="276"/>
        <w:jc w:val="both"/>
      </w:pPr>
      <w:r>
        <w:rPr>
          <w:rFonts w:ascii="Times New Roman" w:cs="Times New Roman" w:eastAsia="Times New Roman" w:hAnsi="Times New Roman"/>
        </w:rPr>
        <w:t xml:space="preserve">A sensitivity analysis over trigger size, position and shape, and a comparison of grey-box and white-box access assumptions.</w:t>
      </w:r>
    </w:p>
    <w:p>
      <w:pPr>
        <w:pStyle w:val="Heading2"/>
        <w:keepNext/>
        <w:spacing w:after="100" w:before="180"/>
      </w:pPr>
      <w:r>
        <w:rPr>
          <w:rFonts w:ascii="Times New Roman" w:cs="Times New Roman" w:eastAsia="Times New Roman" w:hAnsi="Times New Roman"/>
          <w:b/>
          <w:bCs/>
          <w:i/>
          <w:iCs/>
          <w:sz w:val="22"/>
          <w:szCs w:val="22"/>
        </w:rPr>
        <w:t xml:space="preserve">E. Scope and Positioning</w:t>
      </w:r>
    </w:p>
    <w:p>
      <w:pPr>
        <w:spacing w:after="120" w:line="288"/>
        <w:ind w:firstLine="360"/>
        <w:jc w:val="both"/>
      </w:pPr>
      <w:r>
        <w:rPr>
          <w:rFonts w:ascii="Times New Roman" w:cs="Times New Roman" w:eastAsia="Times New Roman" w:hAnsi="Times New Roman"/>
        </w:rPr>
        <w:t xml:space="preserve">Deep learning-based intrusion detection is a primary application of such defences. The experiments, however, follow the supervisor's guidelines and use image classification on CIFAR-10 as a controlled testbed, with a simple CNN and a visible-trigger BadNets attack at the Data Collection attack surface. This choice isolates the behaviour of the defences from the additional difficulties of tabular and flow-based traffic features. Results therefore establish how the defence layers behave in a well-understood setting; whether they transfer to intrusion detection data is argued in Section VI-F and left for future work. Likewise, the adversarial-robustness and explainability layers of the conceptual framework are discussed but not experimentally evaluated, and only BadNets is implemented among the attack families listed in the guidelines. These boundaries are repeated in Section VI-G so that no result is read as a claim beyond its scope.</w:t>
      </w:r>
    </w:p>
    <w:p>
      <w:pPr>
        <w:pStyle w:val="Heading2"/>
        <w:keepNext/>
        <w:spacing w:after="100" w:before="180"/>
      </w:pPr>
      <w:r>
        <w:rPr>
          <w:rFonts w:ascii="Times New Roman" w:cs="Times New Roman" w:eastAsia="Times New Roman" w:hAnsi="Times New Roman"/>
          <w:b/>
          <w:bCs/>
          <w:i/>
          <w:iCs/>
          <w:sz w:val="22"/>
          <w:szCs w:val="22"/>
        </w:rPr>
        <w:t xml:space="preserve">F. Thesis Organisation</w:t>
      </w:r>
    </w:p>
    <w:p>
      <w:pPr>
        <w:spacing w:after="120" w:line="288"/>
        <w:ind w:firstLine="360"/>
        <w:jc w:val="both"/>
      </w:pPr>
      <w:r>
        <w:rPr>
          <w:rFonts w:ascii="Times New Roman" w:cs="Times New Roman" w:eastAsia="Times New Roman" w:hAnsi="Times New Roman"/>
        </w:rPr>
        <w:t xml:space="preserve">Section II reviews backdoor attacks, defences and related toolkits. Section III presents the framework components and threat model. Section IV describes the experimental setup. Section V reports results. Section VI discusses findings, limitations and realistic defender assumptions, and Section VII concludes.</w:t>
      </w:r>
    </w:p>
    <w:p>
      <w:pPr>
        <w:pStyle w:val="Heading1"/>
        <w:keepNext/>
        <w:spacing w:after="160" w:before="280"/>
        <w:jc w:val="center"/>
      </w:pPr>
      <w:r>
        <w:rPr>
          <w:rFonts w:ascii="Times New Roman" w:cs="Times New Roman" w:eastAsia="Times New Roman" w:hAnsi="Times New Roman"/>
          <w:b/>
          <w:bCs/>
          <w:sz w:val="24"/>
          <w:szCs w:val="24"/>
        </w:rPr>
        <w:t xml:space="preserve">II. BACKGROUND AND RELATED WORK</w:t>
      </w:r>
    </w:p>
    <w:p>
      <w:pPr>
        <w:pStyle w:val="Heading2"/>
        <w:keepNext/>
        <w:spacing w:after="100" w:before="180"/>
      </w:pPr>
      <w:r>
        <w:rPr>
          <w:rFonts w:ascii="Times New Roman" w:cs="Times New Roman" w:eastAsia="Times New Roman" w:hAnsi="Times New Roman"/>
          <w:b/>
          <w:bCs/>
          <w:i/>
          <w:iCs/>
          <w:sz w:val="22"/>
          <w:szCs w:val="22"/>
        </w:rPr>
        <w:t xml:space="preserve">A. Backdoor Attacks and Their Taxonomy</w:t>
      </w:r>
    </w:p>
    <w:p>
      <w:pPr>
        <w:spacing w:after="120" w:line="288"/>
        <w:ind w:firstLine="360"/>
        <w:jc w:val="both"/>
      </w:pPr>
      <w:r>
        <w:rPr>
          <w:rFonts w:ascii="Times New Roman" w:cs="Times New Roman" w:eastAsia="Times New Roman" w:hAnsi="Times New Roman"/>
        </w:rPr>
        <w:t xml:space="preserve">A backdoor attack has two phases: implantation during training and activation at inference. Attacks are commonly organised by the surface through which the adversary gains influence. In the </w:t>
      </w:r>
      <w:r>
        <w:rPr>
          <w:rFonts w:ascii="Times New Roman" w:cs="Times New Roman" w:eastAsia="Times New Roman" w:hAnsi="Times New Roman"/>
          <w:b/>
          <w:bCs/>
        </w:rPr>
        <w:t xml:space="preserve">Data Collection</w:t>
      </w:r>
      <w:r>
        <w:rPr>
          <w:rFonts w:ascii="Times New Roman" w:cs="Times New Roman" w:eastAsia="Times New Roman" w:hAnsi="Times New Roman"/>
        </w:rPr>
        <w:t xml:space="preserve"> surface, the attacker contributes or modifies training samples; BadNets stamps a small visible patch on a fraction of images and relabels them to a target class [5], and blended-key variants mix a pattern into the image at low opacity [6]. In the </w:t>
      </w:r>
      <w:r>
        <w:rPr>
          <w:rFonts w:ascii="Times New Roman" w:cs="Times New Roman" w:eastAsia="Times New Roman" w:hAnsi="Times New Roman"/>
          <w:b/>
          <w:bCs/>
        </w:rPr>
        <w:t xml:space="preserve">Pre-trained Model</w:t>
      </w:r>
      <w:r>
        <w:rPr>
          <w:rFonts w:ascii="Times New Roman" w:cs="Times New Roman" w:eastAsia="Times New Roman" w:hAnsi="Times New Roman"/>
        </w:rPr>
        <w:t xml:space="preserve"> surface, the attacker distributes a compromised checkpoint, as in the trojaning attack that retrains selected neurons to respond to a trigger [7]. Latent backdoors are designed to survive transfer learning, so that a student model inherits the vulnerability from a teacher [17]. In </w:t>
      </w:r>
      <w:r>
        <w:rPr>
          <w:rFonts w:ascii="Times New Roman" w:cs="Times New Roman" w:eastAsia="Times New Roman" w:hAnsi="Times New Roman"/>
          <w:b/>
          <w:bCs/>
        </w:rPr>
        <w:t xml:space="preserve">Outsourcing</w:t>
      </w:r>
      <w:r>
        <w:rPr>
          <w:rFonts w:ascii="Times New Roman" w:cs="Times New Roman" w:eastAsia="Times New Roman" w:hAnsi="Times New Roman"/>
        </w:rPr>
        <w:t xml:space="preserve">, the adversary controls the training run itself. In </w:t>
      </w:r>
      <w:r>
        <w:rPr>
          <w:rFonts w:ascii="Times New Roman" w:cs="Times New Roman" w:eastAsia="Times New Roman" w:hAnsi="Times New Roman"/>
          <w:b/>
          <w:bCs/>
        </w:rPr>
        <w:t xml:space="preserve">Collaborative Learning</w:t>
      </w:r>
      <w:r>
        <w:rPr>
          <w:rFonts w:ascii="Times New Roman" w:cs="Times New Roman" w:eastAsia="Times New Roman" w:hAnsi="Times New Roman"/>
        </w:rPr>
        <w:t xml:space="preserve">, a participant sends poisoned updates, as demonstrated for federated learning through model replacement [18].</w:t>
      </w:r>
    </w:p>
    <w:p>
      <w:pPr>
        <w:spacing w:after="120" w:line="288"/>
        <w:ind w:firstLine="360"/>
        <w:jc w:val="both"/>
      </w:pPr>
      <w:r>
        <w:rPr>
          <w:rFonts w:ascii="Times New Roman" w:cs="Times New Roman" w:eastAsia="Times New Roman" w:hAnsi="Times New Roman"/>
        </w:rPr>
        <w:t xml:space="preserve">Attacks also differ in trigger visibility and label consistency. Clean-label attacks keep the label of poisoned samples correct by crafting feature-collision examples [19] or by hiding the trigger in a way that is not visible in the poisoned images [20], which defeats defences that look for label inconsistencies. Frequency-domain analysis shows that many triggers leave high-frequency artefacts and motivates smoother, harder-to-detect triggers [21], while input-aware attacks generate a different trigger for every input [22]. The present thesis implements the simplest member of this taxonomy, the visible BadNets trigger, because it allows a clean study of detector behaviour and parameter sensitivity before moving to stealthier attacks.</w:t>
      </w:r>
    </w:p>
    <w:p>
      <w:pPr>
        <w:pStyle w:val="Heading2"/>
        <w:keepNext/>
        <w:spacing w:after="100" w:before="180"/>
      </w:pPr>
      <w:r>
        <w:rPr>
          <w:rFonts w:ascii="Times New Roman" w:cs="Times New Roman" w:eastAsia="Times New Roman" w:hAnsi="Times New Roman"/>
          <w:b/>
          <w:bCs/>
          <w:i/>
          <w:iCs/>
          <w:sz w:val="22"/>
          <w:szCs w:val="22"/>
        </w:rPr>
        <w:t xml:space="preserve">B. Adversarial Machine Learning in Security Settings</w:t>
      </w:r>
    </w:p>
    <w:p>
      <w:pPr>
        <w:spacing w:after="120" w:line="288"/>
        <w:ind w:firstLine="360"/>
        <w:jc w:val="both"/>
      </w:pPr>
      <w:r>
        <w:rPr>
          <w:rFonts w:ascii="Times New Roman" w:cs="Times New Roman" w:eastAsia="Times New Roman" w:hAnsi="Times New Roman"/>
        </w:rPr>
        <w:t xml:space="preserve">Backdoors are one branch of adversarial machine learning, which spans training-time and test-time attacks [23]. At test time, adversarial examples show that small perturbations change predictions [24], with fast gradient methods [25], projected gradient descent training [26] and optimisation-based attacks [27] forming the standard toolkit for both attack and robustness evaluation. The difference that matters here is the threat timing: adversarial examples are crafted against a deployed model, whereas a backdoor is planted during training and is activated by a trigger chosen by the attacker. A defence that improves test-time robustness does not by itself address backdoors, which is why backdoor robustness and adversarial robustness appear as separate items in the framework.</w:t>
      </w:r>
    </w:p>
    <w:p>
      <w:pPr>
        <w:pStyle w:val="Heading2"/>
        <w:keepNext/>
        <w:spacing w:after="100" w:before="180"/>
      </w:pPr>
      <w:r>
        <w:rPr>
          <w:rFonts w:ascii="Times New Roman" w:cs="Times New Roman" w:eastAsia="Times New Roman" w:hAnsi="Times New Roman"/>
          <w:b/>
          <w:bCs/>
          <w:i/>
          <w:iCs/>
          <w:sz w:val="22"/>
          <w:szCs w:val="22"/>
        </w:rPr>
        <w:t xml:space="preserve">C. Data-Level Defences</w:t>
      </w:r>
    </w:p>
    <w:p>
      <w:pPr>
        <w:spacing w:after="120" w:line="288"/>
        <w:ind w:firstLine="360"/>
        <w:jc w:val="both"/>
      </w:pPr>
      <w:r>
        <w:rPr>
          <w:rFonts w:ascii="Times New Roman" w:cs="Times New Roman" w:eastAsia="Times New Roman" w:hAnsi="Times New Roman"/>
        </w:rPr>
        <w:t xml:space="preserve">Data-level defences inspect the training set. Activation Clustering extracts last-hidden-layer activations of each class, reduces their dimension and clusters them into two groups; a poisoned class tends to split into a large clean cluster and a small poisoned one [12]. Spectral Signatures observe that poisoned samples leave a detectable trace in the top singular direction of the centred representation covariance and score samples by their projection onto it [13]. Isolation Forest isolates anomalies through random partitioning and assigns short average path lengths to outliers [16]; applied to CNN features it provides a generic unsupervised baseline. These methods need access to training data and, usually, to a model's internal representations, and they differ in how much they presuppose about the poisoning rate.</w:t>
      </w:r>
    </w:p>
    <w:p>
      <w:pPr>
        <w:pStyle w:val="Heading2"/>
        <w:keepNext/>
        <w:spacing w:after="100" w:before="180"/>
      </w:pPr>
      <w:r>
        <w:rPr>
          <w:rFonts w:ascii="Times New Roman" w:cs="Times New Roman" w:eastAsia="Times New Roman" w:hAnsi="Times New Roman"/>
          <w:b/>
          <w:bCs/>
          <w:i/>
          <w:iCs/>
          <w:sz w:val="22"/>
          <w:szCs w:val="22"/>
        </w:rPr>
        <w:t xml:space="preserve">D. Model-Level Detection</w:t>
      </w:r>
    </w:p>
    <w:p>
      <w:pPr>
        <w:spacing w:after="120" w:line="288"/>
        <w:ind w:firstLine="360"/>
        <w:jc w:val="both"/>
      </w:pPr>
      <w:r>
        <w:rPr>
          <w:rFonts w:ascii="Times New Roman" w:cs="Times New Roman" w:eastAsia="Times New Roman" w:hAnsi="Times New Roman"/>
        </w:rPr>
        <w:t xml:space="preserve">Model-level defences analyse a trained model without needing the poisoned samples. Neural Cleanse searches, for each class, for the smallest input perturbation that flips all inputs to that class and flags classes whose minimal trigger is anomalously small [10]. STRIP superimposes a suspect input with random clean images and measures the entropy of the resulting predictions, since triggered inputs remain confidently classified [11]. ABS stimulates individual internal neurons and looks for neurons whose elevated activation drives one label regardless of input [15]. All three are sensitive to implementation choices and to the thresholds that convert a score into a decision.</w:t>
      </w:r>
    </w:p>
    <w:p>
      <w:pPr>
        <w:pStyle w:val="Heading2"/>
        <w:keepNext/>
        <w:spacing w:after="100" w:before="180"/>
      </w:pPr>
      <w:r>
        <w:rPr>
          <w:rFonts w:ascii="Times New Roman" w:cs="Times New Roman" w:eastAsia="Times New Roman" w:hAnsi="Times New Roman"/>
          <w:b/>
          <w:bCs/>
          <w:i/>
          <w:iCs/>
          <w:sz w:val="22"/>
          <w:szCs w:val="22"/>
        </w:rPr>
        <w:t xml:space="preserve">E. Recovery and Mitigation</w:t>
      </w:r>
    </w:p>
    <w:p>
      <w:pPr>
        <w:spacing w:after="120" w:line="288"/>
        <w:ind w:firstLine="360"/>
        <w:jc w:val="both"/>
      </w:pPr>
      <w:r>
        <w:rPr>
          <w:rFonts w:ascii="Times New Roman" w:cs="Times New Roman" w:eastAsia="Times New Roman" w:hAnsi="Times New Roman"/>
        </w:rPr>
        <w:t xml:space="preserve">Fine-Pruning prunes convolutional filters that are dormant on clean data, on the assumption that backdoor behaviour is carried by otherwise unused capacity, and then fine-tunes to recover clean accuracy [14]. Neural Attention Distillation uses a fine-tuned teacher to realign the attention maps of the backdoored student [28], and Anti-Backdoor Learning exploits the observation that backdoor samples are learned faster and unlearns them during training [29]. Fine-pruning is selected here because it is simple, inexpensive and well documented, which suits a prototype whose main goal is to compare components rather than to maximise recovery.</w:t>
      </w:r>
    </w:p>
    <w:p>
      <w:pPr>
        <w:pStyle w:val="Heading2"/>
        <w:keepNext/>
        <w:spacing w:after="100" w:before="180"/>
      </w:pPr>
      <w:r>
        <w:rPr>
          <w:rFonts w:ascii="Times New Roman" w:cs="Times New Roman" w:eastAsia="Times New Roman" w:hAnsi="Times New Roman"/>
          <w:b/>
          <w:bCs/>
          <w:i/>
          <w:iCs/>
          <w:sz w:val="22"/>
          <w:szCs w:val="22"/>
        </w:rPr>
        <w:t xml:space="preserve">F. Privacy, Explainability and Monitoring</w:t>
      </w:r>
    </w:p>
    <w:p>
      <w:pPr>
        <w:spacing w:after="120" w:line="288"/>
        <w:ind w:firstLine="360"/>
        <w:jc w:val="both"/>
      </w:pPr>
      <w:r>
        <w:rPr>
          <w:rFonts w:ascii="Times New Roman" w:cs="Times New Roman" w:eastAsia="Times New Roman" w:hAnsi="Times New Roman"/>
        </w:rPr>
        <w:t xml:space="preserve">The data-protection layer of the framework includes differential privacy, which bounds how much any single training record can influence the model [30], and statistical and density-based anomaly detection. Explainability tools such as Grad-CAM [31], SHAP [32] and LIME [33] expose which inputs drive a prediction and have been used to reveal trigger regions. Operational monitoring and access control complete the framework by restricting who may query or modify a model and by tracking model health over time. Of these, the thesis implements a simple simulation of access control and monitoring and uses activation- and neuron-level signals as partial explanatory evidence; differential privacy and post-hoc explanation methods are not evaluated.</w:t>
      </w:r>
    </w:p>
    <w:p>
      <w:pPr>
        <w:pStyle w:val="Heading2"/>
        <w:keepNext/>
        <w:spacing w:after="100" w:before="180"/>
      </w:pPr>
      <w:r>
        <w:rPr>
          <w:rFonts w:ascii="Times New Roman" w:cs="Times New Roman" w:eastAsia="Times New Roman" w:hAnsi="Times New Roman"/>
          <w:b/>
          <w:bCs/>
          <w:i/>
          <w:iCs/>
          <w:sz w:val="22"/>
          <w:szCs w:val="22"/>
        </w:rPr>
        <w:t xml:space="preserve">G. Toolkits and Benchmarks</w:t>
      </w:r>
    </w:p>
    <w:p>
      <w:pPr>
        <w:spacing w:after="120" w:line="288"/>
        <w:ind w:firstLine="360"/>
        <w:jc w:val="both"/>
      </w:pPr>
      <w:r>
        <w:rPr>
          <w:rFonts w:ascii="Times New Roman" w:cs="Times New Roman" w:eastAsia="Times New Roman" w:hAnsi="Times New Roman"/>
        </w:rPr>
        <w:t xml:space="preserve">Open-source toolkits reduce the effort of reproducing attacks and defences. BackdoorBox provides implementations of many attacks and defences [34], TrojanZoo offers a unified evaluation harness for neural backdoors [35], and BackdoorBench supplies a large benchmark across attacks, defences and architectures [36]. These resources report results over multiple models and attacks. The contribution of this thesis is complementary: a transparent, small-scale prototype in which every layer is explicit, the threat model is stated per experiment, and negative outcomes are reported alongside positive ones.</w:t>
      </w:r>
    </w:p>
    <w:p>
      <w:pPr>
        <w:keepNext/>
        <w:spacing w:after="60" w:before="160"/>
        <w:jc w:val="center"/>
      </w:pPr>
      <w:r>
        <w:rPr>
          <w:rFonts w:ascii="Times New Roman" w:cs="Times New Roman" w:eastAsia="Times New Roman" w:hAnsi="Times New Roman"/>
          <w:sz w:val="17"/>
          <w:szCs w:val="17"/>
        </w:rPr>
        <w:t xml:space="preserve">TABLE I</w:t>
      </w:r>
      <w:r>
        <w:br/>
        <w:t xml:space="preserve"/>
      </w:r>
      <w:r>
        <w:rPr>
          <w:rFonts w:ascii="Times New Roman" w:cs="Times New Roman" w:eastAsia="Times New Roman" w:hAnsi="Times New Roman"/>
          <w:sz w:val="17"/>
          <w:szCs w:val="17"/>
        </w:rPr>
        <w:t xml:space="preserve">SUMMARY OF THE DEFENCE METHODS USED IN THIS 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60"/>
      </w:tblGrid>
      <w:tr>
        <w:trPr>
          <w:cantSplit/>
          <w:tblHeader/>
        </w:trPr>
        <w:tc>
          <w:tcPr>
            <w:tcW w:type="dxa" w:w="23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Method</w:t>
            </w:r>
          </w:p>
        </w:tc>
        <w:tc>
          <w:tcPr>
            <w:tcW w:type="dxa" w:w="13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Level</w:t>
            </w:r>
          </w:p>
        </w:tc>
        <w:tc>
          <w:tcPr>
            <w:tcW w:type="dxa" w:w="28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Needs</w:t>
            </w:r>
          </w:p>
        </w:tc>
        <w:tc>
          <w:tcPr>
            <w:tcW w:type="dxa" w:w="29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Key assumption</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Isolation Forest [16]</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Training data, CNN features</w:t>
            </w:r>
          </w:p>
        </w:tc>
        <w:tc>
          <w:tcPr>
            <w:tcW w:type="dxa" w:w="29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Poison is rare and isolable</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Activation Clustering [12]</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 activations</w:t>
            </w:r>
          </w:p>
        </w:tc>
        <w:tc>
          <w:tcPr>
            <w:tcW w:type="dxa" w:w="29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Poison forms a separate cluster</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Spectral Signatures [13]</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 representations</w:t>
            </w:r>
          </w:p>
        </w:tc>
        <w:tc>
          <w:tcPr>
            <w:tcW w:type="dxa" w:w="29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Poison shifts top singular direction</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Neural Cleanse [10]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 clean inputs</w:t>
            </w:r>
          </w:p>
        </w:tc>
        <w:tc>
          <w:tcPr>
            <w:tcW w:type="dxa" w:w="29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Target class has small trigger</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STRIP [11]</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 / input</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 clean inputs</w:t>
            </w:r>
          </w:p>
        </w:tc>
        <w:tc>
          <w:tcPr>
            <w:tcW w:type="dxa" w:w="29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Triggered inputs stay confident</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ABS [15]</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 neurons</w:t>
            </w:r>
          </w:p>
        </w:tc>
        <w:tc>
          <w:tcPr>
            <w:tcW w:type="dxa" w:w="29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One neuron drives target label</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Fine-Pruning [14]</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Recovery</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 trusted data</w:t>
            </w:r>
          </w:p>
        </w:tc>
        <w:tc>
          <w:tcPr>
            <w:tcW w:type="dxa" w:w="29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Backdoor uses dormant filters</w:t>
            </w:r>
          </w:p>
        </w:tc>
      </w:tr>
    </w:tbl>
    <w:p>
      <w:pPr>
        <w:spacing w:after="160"/>
      </w:pPr>
    </w:p>
    <w:p>
      <w:pPr>
        <w:pStyle w:val="Heading1"/>
        <w:keepNext/>
        <w:spacing w:after="160" w:before="280"/>
        <w:jc w:val="center"/>
      </w:pPr>
      <w:r>
        <w:rPr>
          <w:rFonts w:ascii="Times New Roman" w:cs="Times New Roman" w:eastAsia="Times New Roman" w:hAnsi="Times New Roman"/>
          <w:b/>
          <w:bCs/>
          <w:sz w:val="24"/>
          <w:szCs w:val="24"/>
        </w:rPr>
        <w:t xml:space="preserve">III. FRAMEWORK COMPONENTS</w:t>
      </w:r>
    </w:p>
    <w:p>
      <w:pPr>
        <w:pStyle w:val="Heading2"/>
        <w:keepNext/>
        <w:spacing w:after="100" w:before="180"/>
      </w:pPr>
      <w:r>
        <w:rPr>
          <w:rFonts w:ascii="Times New Roman" w:cs="Times New Roman" w:eastAsia="Times New Roman" w:hAnsi="Times New Roman"/>
          <w:b/>
          <w:bCs/>
          <w:i/>
          <w:iCs/>
          <w:sz w:val="22"/>
          <w:szCs w:val="22"/>
        </w:rPr>
        <w:t xml:space="preserve">A. Overview of the Implemented Framework</w:t>
      </w:r>
    </w:p>
    <w:p>
      <w:pPr>
        <w:spacing w:after="120" w:line="288"/>
        <w:ind w:firstLine="360"/>
        <w:jc w:val="both"/>
      </w:pPr>
      <w:r>
        <w:rPr>
          <w:rFonts w:ascii="Times New Roman" w:cs="Times New Roman" w:eastAsia="Times New Roman" w:hAnsi="Times New Roman"/>
        </w:rPr>
        <w:t xml:space="preserve">The prototype realises the smart cyber defence framework as four cooperating layers (Fig. 1). The first layer protects data by detecting suspicious training samples. The second layer protects the model by testing whether a trained network carries a backdoor. The third layer recovers a compromised model. The fourth layer provides operational controls: role-based access to the model and monitoring of its health. Components are implemented as separate modules so that each can be switched on or off, which is what allows the ablation study of Section V-G.</w:t>
      </w:r>
    </w:p>
    <w:p>
      <w:pPr>
        <w:keepNext/>
        <w:spacing w:after="60" w:before="120"/>
        <w:jc w:val="center"/>
      </w:pPr>
      <w:r>
        <w:drawing>
          <wp:inline distT="0" distB="0" distL="0" distR="0">
            <wp:extent cx="3933825" cy="2276475"/>
            <wp:effectExtent t="0" r="0" b="0" l="0"/>
            <wp:docPr id="1" name="fig1" descr="Layered smart cyber defence prototype: data protection, model protection, recovery and monitoring."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227647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 Layered smart cyber defence prototype: data protection, model protection, recovery and monitoring.</w:t>
      </w:r>
    </w:p>
    <w:p>
      <w:pPr>
        <w:pStyle w:val="Heading2"/>
        <w:keepNext/>
        <w:spacing w:after="100" w:before="180"/>
      </w:pPr>
      <w:r>
        <w:rPr>
          <w:rFonts w:ascii="Times New Roman" w:cs="Times New Roman" w:eastAsia="Times New Roman" w:hAnsi="Times New Roman"/>
          <w:b/>
          <w:bCs/>
          <w:i/>
          <w:iCs/>
          <w:sz w:val="22"/>
          <w:szCs w:val="22"/>
        </w:rPr>
        <w:t xml:space="preserve">B. Threat Model</w:t>
      </w:r>
    </w:p>
    <w:p>
      <w:pPr>
        <w:spacing w:after="120" w:line="288"/>
        <w:ind w:firstLine="360"/>
        <w:jc w:val="both"/>
      </w:pPr>
      <w:r>
        <w:rPr>
          <w:rFonts w:ascii="Times New Roman" w:cs="Times New Roman" w:eastAsia="Times New Roman" w:hAnsi="Times New Roman"/>
        </w:rPr>
        <w:t xml:space="preserve">Following the guidelines, each experiment states the attacker capabilities. The adversary acts through the Data Collection surface by inserting trigger-bearing samples relabelled to target class 0 (airplane) into the training set. For the attacker-access comparison, two knowledge levels are distinguished. In the grey-box setting the attacker can contribute training data but cannot read parameters or activations and sees only limited predictions. In the white-box setting the attacker, or an analyst acting on the attacker's behalf, can additionally inspect parameters, internal features and convolutional activations. The defender is assumed to observe the training data, to hold the trained model and its activations, and to possess a trusted subset of data for recovery, which is the standard assumption of fine-pruning [14]. The Pre-trained Model surface is represented by applying model-level analysis and recovery to an already backdoored network, but no separate compromised third-party checkpoint is evaluated. Outsourcing and Collaborative Learning are out of scope (Fig. 2).</w:t>
      </w:r>
    </w:p>
    <w:p>
      <w:pPr>
        <w:keepNext/>
        <w:spacing w:after="60" w:before="120"/>
        <w:jc w:val="center"/>
      </w:pPr>
      <w:r>
        <w:drawing>
          <wp:inline distT="0" distB="0" distL="0" distR="0">
            <wp:extent cx="3848100" cy="1962150"/>
            <wp:effectExtent t="0" r="0" b="0" l="0"/>
            <wp:docPr id="1" name="fig2" descr="Threat model: attack surfaces covered by the prototype and attacker and defender capabilities."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48100" cy="1962150"/>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2. Threat model: attack surfaces covered by the prototype and attacker and defender capabilities.</w:t>
      </w:r>
    </w:p>
    <w:p>
      <w:pPr>
        <w:keepNext/>
        <w:spacing w:after="60" w:before="160"/>
        <w:jc w:val="center"/>
      </w:pPr>
      <w:r>
        <w:rPr>
          <w:rFonts w:ascii="Times New Roman" w:cs="Times New Roman" w:eastAsia="Times New Roman" w:hAnsi="Times New Roman"/>
          <w:sz w:val="17"/>
          <w:szCs w:val="17"/>
        </w:rPr>
        <w:t xml:space="preserve">TABLE II</w:t>
      </w:r>
      <w:r>
        <w:br/>
        <w:t xml:space="preserve"/>
      </w:r>
      <w:r>
        <w:rPr>
          <w:rFonts w:ascii="Times New Roman" w:cs="Times New Roman" w:eastAsia="Times New Roman" w:hAnsi="Times New Roman"/>
          <w:sz w:val="17"/>
          <w:szCs w:val="17"/>
        </w:rPr>
        <w:t xml:space="preserve">ATTACKER CAPABILITIES AND DEFENDER ASSUMPTIONS PER EXPERIMENT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000"/>
        <w:gridCol w:w="2660"/>
      </w:tblGrid>
      <w:tr>
        <w:trPr>
          <w:cantSplit/>
          <w:tblHeader/>
        </w:trPr>
        <w:tc>
          <w:tcPr>
            <w:tcW w:type="dxa" w:w="2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Experiment</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Surface</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Attacker capability</w:t>
            </w:r>
          </w:p>
        </w:tc>
        <w:tc>
          <w:tcPr>
            <w:tcW w:type="dxa" w:w="26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Defender assumption</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Baseline and poison-rate study</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 collection</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Injects 1, 5 or 10% trigger samples; knows trigger</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None (undefended)</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Data-level detection</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 collection</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Same as baseline; no model access</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Training data and CNN features</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Model-level detection</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Pre-trained model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Delivers backdoored model</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 weights, clean test inputs</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Fine-pruning recovery</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Pre-trained model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Same as above</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Weights, activations, trusted data</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Sequential pipeline</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 collection</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Same as baseline</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 features, retraining budget</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Attacker access</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 collection</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Grey-box vs white-box view</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Same trained model analysed twice</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Trigger variation</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 collection</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Chooses size, position, shape</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None (attack study)</w:t>
            </w:r>
          </w:p>
        </w:tc>
      </w:tr>
    </w:tbl>
    <w:p>
      <w:pPr>
        <w:spacing w:after="160"/>
      </w:pPr>
    </w:p>
    <w:p>
      <w:pPr>
        <w:pStyle w:val="Heading2"/>
        <w:keepNext/>
        <w:spacing w:after="100" w:before="180"/>
      </w:pPr>
      <w:r>
        <w:rPr>
          <w:rFonts w:ascii="Times New Roman" w:cs="Times New Roman" w:eastAsia="Times New Roman" w:hAnsi="Times New Roman"/>
          <w:b/>
          <w:bCs/>
          <w:i/>
          <w:iCs/>
          <w:sz w:val="22"/>
          <w:szCs w:val="22"/>
        </w:rPr>
        <w:t xml:space="preserve">C. Layer 1: Data Protection</w:t>
      </w:r>
    </w:p>
    <w:p>
      <w:pPr>
        <w:spacing w:after="120" w:line="288"/>
        <w:ind w:firstLine="360"/>
        <w:jc w:val="both"/>
      </w:pPr>
      <w:r>
        <w:rPr>
          <w:rFonts w:ascii="Times New Roman" w:cs="Times New Roman" w:eastAsia="Times New Roman" w:hAnsi="Times New Roman"/>
        </w:rPr>
        <w:t xml:space="preserve">Three detectors are applied to a 5,000-sample inspection set drawn from the training data. Isolation Forest is applied to 256-dimensional CNN features and is configured with a contamination parameter equal to the expected poisoning fraction. Activation Clustering clusters activations with K-means and designates the smaller cluster as suspicious. This is a label-independent heuristic: ground-truth poison labels are used only to compute metrics. Spectral Signatures scores samples by their projection onto the leading singular direction and removes the highest-scoring samples; in this implementation the number of samples to remove equals the known number of poisoned samples, which is a favourable assumption discussed in Section VI-E.</w:t>
      </w:r>
    </w:p>
    <w:p>
      <w:pPr>
        <w:pStyle w:val="Heading2"/>
        <w:keepNext/>
        <w:spacing w:after="100" w:before="180"/>
      </w:pPr>
      <w:r>
        <w:rPr>
          <w:rFonts w:ascii="Times New Roman" w:cs="Times New Roman" w:eastAsia="Times New Roman" w:hAnsi="Times New Roman"/>
          <w:b/>
          <w:bCs/>
          <w:i/>
          <w:iCs/>
          <w:sz w:val="22"/>
          <w:szCs w:val="22"/>
        </w:rPr>
        <w:t xml:space="preserve">D. Layer 2: Model Protection</w:t>
      </w:r>
    </w:p>
    <w:p>
      <w:pPr>
        <w:spacing w:after="120" w:line="288"/>
        <w:ind w:firstLine="360"/>
        <w:jc w:val="both"/>
      </w:pPr>
      <w:r>
        <w:rPr>
          <w:rFonts w:ascii="Times New Roman" w:cs="Times New Roman" w:eastAsia="Times New Roman" w:hAnsi="Times New Roman"/>
        </w:rPr>
        <w:t xml:space="preserve">Model-level analysis comprises three prototypes. The Neural Cleanse-style experiment performs a localised target-class search rather than the full per-class optimisation of the original method. STRIP is applied by superimposition and entropy thresholding, with a threshold chosen using labelled data. The ABS-style experiment stimulates convolutional channels and reports the most suspicious channel, its associated class and a stimulation score. These are simplified prototypes and are reported as such.</w:t>
      </w:r>
    </w:p>
    <w:p>
      <w:pPr>
        <w:pStyle w:val="Heading2"/>
        <w:keepNext/>
        <w:spacing w:after="100" w:before="180"/>
      </w:pPr>
      <w:r>
        <w:rPr>
          <w:rFonts w:ascii="Times New Roman" w:cs="Times New Roman" w:eastAsia="Times New Roman" w:hAnsi="Times New Roman"/>
          <w:b/>
          <w:bCs/>
          <w:i/>
          <w:iCs/>
          <w:sz w:val="22"/>
          <w:szCs w:val="22"/>
        </w:rPr>
        <w:t xml:space="preserve">E. Layer 3: Recovery</w:t>
      </w:r>
    </w:p>
    <w:p>
      <w:pPr>
        <w:spacing w:after="120" w:line="288"/>
        <w:ind w:firstLine="360"/>
        <w:jc w:val="both"/>
      </w:pPr>
      <w:r>
        <w:rPr>
          <w:rFonts w:ascii="Times New Roman" w:cs="Times New Roman" w:eastAsia="Times New Roman" w:hAnsi="Times New Roman"/>
        </w:rPr>
        <w:t xml:space="preserve">Fine-pruning is implemented as activation-based filter pruning followed by fine-tuning. Activations are collected on clean data, filters with the lowest mean activation are zeroed across the three convolutional layers (32, 64 and 128 filters, 224 in total), and the network is fine-tuned for a small number of epochs with the best epoch retained. Three configured pruning ratios of 20%, 30% and 40% are evaluated, which correspond to actual ratios of 19.20%, 29.46% and 39.29% after rounding per layer. Fig. 3 contrasts this standalone use with the sequential pipeline in which detection output feeds retraining before pruning.</w:t>
      </w:r>
    </w:p>
    <w:p>
      <w:pPr>
        <w:keepNext/>
        <w:spacing w:after="60" w:before="120"/>
        <w:jc w:val="center"/>
      </w:pPr>
      <w:r>
        <w:drawing>
          <wp:inline distT="0" distB="0" distL="0" distR="0">
            <wp:extent cx="3933825" cy="2095500"/>
            <wp:effectExtent t="0" r="0" b="0" l="0"/>
            <wp:docPr id="1" name="fig3" descr="Two recovery configurations: (A) standalone fine-pruning of the backdoored model; (B) sequential detect, filter, retrain and prun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33825" cy="2095500"/>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3. Two recovery configurations: (A) standalone fine-pruning of the backdoored model; (B) sequential detect, filter, retrain and prune.</w:t>
      </w:r>
    </w:p>
    <w:p>
      <w:pPr>
        <w:pStyle w:val="Heading2"/>
        <w:keepNext/>
        <w:spacing w:after="100" w:before="180"/>
      </w:pPr>
      <w:r>
        <w:rPr>
          <w:rFonts w:ascii="Times New Roman" w:cs="Times New Roman" w:eastAsia="Times New Roman" w:hAnsi="Times New Roman"/>
          <w:b/>
          <w:bCs/>
          <w:i/>
          <w:iCs/>
          <w:sz w:val="22"/>
          <w:szCs w:val="22"/>
        </w:rPr>
        <w:t xml:space="preserve">F. Layer 4: Access Control and Monitoring</w:t>
      </w:r>
    </w:p>
    <w:p>
      <w:pPr>
        <w:spacing w:after="120" w:line="288"/>
        <w:ind w:firstLine="360"/>
        <w:jc w:val="both"/>
      </w:pPr>
      <w:r>
        <w:rPr>
          <w:rFonts w:ascii="Times New Roman" w:cs="Times New Roman" w:eastAsia="Times New Roman" w:hAnsi="Times New Roman"/>
        </w:rPr>
        <w:t xml:space="preserve">The monitoring layer is a simulation. Three principals are defined: an administrator, a researcher and an unknown user. Each inference request is logged with a timestamp, user, access type, clean accuracy and ASR of the model that served it, and a status of NORMAL, ALERT or ACCESS_DENIED. The layer does not alter model predictions; its role is operational, as the ablation treats it, and its output is evaluated qualitatively in Section V-K.</w:t>
      </w:r>
    </w:p>
    <w:p>
      <w:pPr>
        <w:pStyle w:val="Heading2"/>
        <w:keepNext/>
        <w:spacing w:after="100" w:before="180"/>
      </w:pPr>
      <w:r>
        <w:rPr>
          <w:rFonts w:ascii="Times New Roman" w:cs="Times New Roman" w:eastAsia="Times New Roman" w:hAnsi="Times New Roman"/>
          <w:b/>
          <w:bCs/>
          <w:i/>
          <w:iCs/>
          <w:sz w:val="22"/>
          <w:szCs w:val="22"/>
        </w:rPr>
        <w:t xml:space="preserve">G. Mapping to the Reference Framework</w:t>
      </w:r>
    </w:p>
    <w:p>
      <w:pPr>
        <w:spacing w:after="120" w:line="288"/>
        <w:ind w:firstLine="360"/>
        <w:jc w:val="both"/>
      </w:pPr>
      <w:r>
        <w:rPr>
          <w:rFonts w:ascii="Times New Roman" w:cs="Times New Roman" w:eastAsia="Times New Roman" w:hAnsi="Times New Roman"/>
        </w:rPr>
        <w:t xml:space="preserve">Table III maps each framework element to its implementation and status, so that the reader can see which parts were realised, which were simplified and which remain future work.</w:t>
      </w:r>
    </w:p>
    <w:p>
      <w:pPr>
        <w:keepNext/>
        <w:spacing w:after="60" w:before="160"/>
        <w:jc w:val="center"/>
      </w:pPr>
      <w:r>
        <w:rPr>
          <w:rFonts w:ascii="Times New Roman" w:cs="Times New Roman" w:eastAsia="Times New Roman" w:hAnsi="Times New Roman"/>
          <w:sz w:val="17"/>
          <w:szCs w:val="17"/>
        </w:rPr>
        <w:t xml:space="preserve">TABLE III</w:t>
      </w:r>
      <w:r>
        <w:br/>
        <w:t xml:space="preserve"/>
      </w:r>
      <w:r>
        <w:rPr>
          <w:rFonts w:ascii="Times New Roman" w:cs="Times New Roman" w:eastAsia="Times New Roman" w:hAnsi="Times New Roman"/>
          <w:sz w:val="17"/>
          <w:szCs w:val="17"/>
        </w:rPr>
        <w:t xml:space="preserve">MAPPING BETWEEN FRAMEWORK COMPONENTS AND THE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700"/>
        <w:gridCol w:w="2360"/>
      </w:tblGrid>
      <w:tr>
        <w:trPr>
          <w:cantSplit/>
          <w:tblHeader/>
        </w:trPr>
        <w:tc>
          <w:tcPr>
            <w:tcW w:type="dxa" w:w="33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Framework component</w:t>
            </w:r>
          </w:p>
        </w:tc>
        <w:tc>
          <w:tcPr>
            <w:tcW w:type="dxa" w:w="3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Implementation</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Status</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Statistical and density-based detection</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Isolation Forest on CNN features</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Implemented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Clustering-based detection</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Activation Clustering (size heuristic)</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Implemented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Spectral analysis of poison</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Spectral Signatures (known count)</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Implemented, favourable assumption</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Autoencoder-based detection</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Not implemented</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Future work</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Differential privacy</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Not implemented</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Future work</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Backdoor robustness: detection</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Neural Cleanse-style, STRIP, ABS-style</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Simplified prototypes</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Backdoor robustness: recovery</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Fine-pruning with fine-tuning</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Implemented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Adversarial robustness (evasion)</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Not evaluated</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Future work</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Explainability</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Neuron-level ABS signal only</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Access control and monitoring</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Role-based log simulation</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Simulated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Testing and validation</w:t>
            </w:r>
          </w:p>
        </w:tc>
        <w:tc>
          <w:tcPr>
            <w:tcW w:type="dxa" w:w="3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CA, ASR, ablation, overhead</w:t>
            </w:r>
          </w:p>
        </w:tc>
        <w:tc>
          <w:tcPr>
            <w:tcW w:type="dxa" w:w="2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Implemented</w:t>
            </w:r>
          </w:p>
        </w:tc>
      </w:tr>
    </w:tbl>
    <w:p>
      <w:pPr>
        <w:spacing w:after="160"/>
      </w:pPr>
    </w:p>
    <w:p>
      <w:pPr>
        <w:pStyle w:val="Heading1"/>
        <w:keepNext/>
        <w:spacing w:after="160" w:before="280"/>
        <w:jc w:val="center"/>
      </w:pPr>
      <w:r>
        <w:rPr>
          <w:rFonts w:ascii="Times New Roman" w:cs="Times New Roman" w:eastAsia="Times New Roman" w:hAnsi="Times New Roman"/>
          <w:b/>
          <w:bCs/>
          <w:sz w:val="24"/>
          <w:szCs w:val="24"/>
        </w:rPr>
        <w:t xml:space="preserve">IV. EXPERIMENTAL SETUP</w:t>
      </w:r>
    </w:p>
    <w:p>
      <w:pPr>
        <w:pStyle w:val="Heading2"/>
        <w:keepNext/>
        <w:spacing w:after="100" w:before="180"/>
      </w:pPr>
      <w:r>
        <w:rPr>
          <w:rFonts w:ascii="Times New Roman" w:cs="Times New Roman" w:eastAsia="Times New Roman" w:hAnsi="Times New Roman"/>
          <w:b/>
          <w:bCs/>
          <w:i/>
          <w:iCs/>
          <w:sz w:val="22"/>
          <w:szCs w:val="22"/>
        </w:rPr>
        <w:t xml:space="preserve">A. Dataset and Model</w:t>
      </w:r>
    </w:p>
    <w:p>
      <w:pPr>
        <w:spacing w:after="120" w:line="288"/>
        <w:ind w:firstLine="360"/>
        <w:jc w:val="both"/>
      </w:pPr>
      <w:r>
        <w:rPr>
          <w:rFonts w:ascii="Times New Roman" w:cs="Times New Roman" w:eastAsia="Times New Roman" w:hAnsi="Times New Roman"/>
        </w:rPr>
        <w:t xml:space="preserve">CIFAR-10 [37] is the primary dataset: 50,000 training and 10,000 test colour images of size 32x32 in ten classes. Following the guidelines, a simple CNN is used for the initial experiments, with three convolutional layers (32, 64 and 128 channels, 224 in total), two linear layers, a 256-dimensional feature layer and 620,362 trainable parameters (2.37 MB of parameters). Deeper architectures such as ResNet [38] and VGG-16 [39], and the GTSRB [40] and MNIST [41] datasets named in the guidelines, are not used in this study and are listed as future work. The implementation uses Python with PyTorch [42] for modelling and scikit-learn [43] for Isolation Forest and clustering. The source code, configuration and result files are available at https://github.com/AhamedFozle/smart-cyber-defense.</w:t>
      </w:r>
    </w:p>
    <w:p>
      <w:pPr>
        <w:pStyle w:val="Heading2"/>
        <w:keepNext/>
        <w:spacing w:after="100" w:before="180"/>
      </w:pPr>
      <w:r>
        <w:rPr>
          <w:rFonts w:ascii="Times New Roman" w:cs="Times New Roman" w:eastAsia="Times New Roman" w:hAnsi="Times New Roman"/>
          <w:b/>
          <w:bCs/>
          <w:i/>
          <w:iCs/>
          <w:sz w:val="22"/>
          <w:szCs w:val="22"/>
        </w:rPr>
        <w:t xml:space="preserve">B. Attack Configuration</w:t>
      </w:r>
    </w:p>
    <w:p>
      <w:pPr>
        <w:spacing w:after="120" w:line="288"/>
        <w:ind w:firstLine="360"/>
        <w:jc w:val="both"/>
      </w:pPr>
      <w:r>
        <w:rPr>
          <w:rFonts w:ascii="Times New Roman" w:cs="Times New Roman" w:eastAsia="Times New Roman" w:hAnsi="Times New Roman"/>
        </w:rPr>
        <w:t xml:space="preserve">The attack is BadNets with a visible 3x3 trigger of value 1.0 placed at the bottom-right corner (Fig. 4 in Section V). Target class is 0 (airplane). The poisoning rate is 10% unless stated, which corresponds to 5,000 poisoned training samples. The random seed is 42. ASR is computed on the 9,000 test images that do not belong to the target class, so that images already correctly labelled as the target do not inflate the score. The main experiments train for 20 epochs with batch size 64 and learning rate 0.0005 on CPU.</w:t>
      </w:r>
    </w:p>
    <w:p>
      <w:pPr>
        <w:pStyle w:val="Heading2"/>
        <w:keepNext/>
        <w:spacing w:after="100" w:before="180"/>
      </w:pPr>
      <w:r>
        <w:rPr>
          <w:rFonts w:ascii="Times New Roman" w:cs="Times New Roman" w:eastAsia="Times New Roman" w:hAnsi="Times New Roman"/>
          <w:b/>
          <w:bCs/>
          <w:i/>
          <w:iCs/>
          <w:sz w:val="22"/>
          <w:szCs w:val="22"/>
        </w:rPr>
        <w:t xml:space="preserve">C. Evaluation Metrics</w:t>
      </w:r>
    </w:p>
    <w:p>
      <w:pPr>
        <w:spacing w:after="120" w:line="288"/>
        <w:jc w:val="both"/>
      </w:pPr>
      <w:r>
        <w:rPr>
          <w:rFonts w:ascii="Times New Roman" w:cs="Times New Roman" w:eastAsia="Times New Roman" w:hAnsi="Times New Roman"/>
        </w:rPr>
        <w:t xml:space="preserve">Clean accuracy and attack success rate are defined as</w:t>
      </w:r>
    </w:p>
    <w:p>
      <w:pPr>
        <w:tabs>
          <w:tab w:val="center" w:pos="4680"/>
          <w:tab w:val="right" w:pos="9360"/>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iCs/>
        </w:rPr>
        <w:t xml:space="preserve">CA = (1/|T|) Σ 1[f(x) = y],  x ∈ T (clean test set)</w:t>
      </w:r>
      <w:r>
        <w:rPr>
          <w:rFonts w:ascii="Times New Roman" w:cs="Times New Roman" w:eastAsia="Times New Roman" w:hAnsi="Times New Roman"/>
        </w:rPr>
        <w:t xml:space="preserve">	(1)</w:t>
      </w:r>
    </w:p>
    <w:p>
      <w:pPr>
        <w:tabs>
          <w:tab w:val="center" w:pos="4680"/>
          <w:tab w:val="right" w:pos="9360"/>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iCs/>
        </w:rPr>
        <w:t xml:space="preserve">ASR = (1/|T′|) Σ 1[f(x ⊕ t) = c],  x ∈ T′ (non-target test images)</w:t>
      </w:r>
      <w:r>
        <w:rPr>
          <w:rFonts w:ascii="Times New Roman" w:cs="Times New Roman" w:eastAsia="Times New Roman" w:hAnsi="Times New Roman"/>
        </w:rPr>
        <w:t xml:space="preserve">	(2)</w:t>
      </w:r>
    </w:p>
    <w:p>
      <w:pPr>
        <w:spacing w:after="120" w:line="288"/>
        <w:jc w:val="both"/>
      </w:pPr>
      <w:r>
        <w:rPr>
          <w:rFonts w:ascii="Times New Roman" w:cs="Times New Roman" w:eastAsia="Times New Roman" w:hAnsi="Times New Roman"/>
        </w:rPr>
        <w:t xml:space="preserve">where t is the trigger and c the target class. Detection quality is measured with accuracy, true positive rate TPR = TP/(TP+FN), false positive rate FPR = FP/(FP+TN), precision TP/(TP+FP) and F1. The recovery rate used throughout this thesis is the relative reduction of ASR,</w:t>
      </w:r>
    </w:p>
    <w:p>
      <w:pPr>
        <w:tabs>
          <w:tab w:val="center" w:pos="4680"/>
          <w:tab w:val="right" w:pos="9360"/>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iCs/>
        </w:rPr>
        <w:t xml:space="preserve">RR = (ASR_base − ASR_rec) / ASR_base × 100%</w:t>
      </w:r>
      <w:r>
        <w:rPr>
          <w:rFonts w:ascii="Times New Roman" w:cs="Times New Roman" w:eastAsia="Times New Roman" w:hAnsi="Times New Roman"/>
        </w:rPr>
        <w:t xml:space="preserve">	(3)</w:t>
      </w:r>
    </w:p>
    <w:p>
      <w:pPr>
        <w:spacing w:after="120" w:line="288"/>
        <w:ind w:firstLine="360"/>
        <w:jc w:val="both"/>
      </w:pPr>
      <w:r>
        <w:rPr>
          <w:rFonts w:ascii="Times New Roman" w:cs="Times New Roman" w:eastAsia="Times New Roman" w:hAnsi="Times New Roman"/>
        </w:rPr>
        <w:t xml:space="preserve">which is reported together with the change in CA and the absolute ASR reduction in percentage points (pp). All ASR reductions and recovery rates are computed from the success counts out of 9,000 and not from rounded percentages; for example, the 40% run corresponds to 3,649 of 9,000 successes (40.54%), giving 53.62 pp and 56.94%. The ablation log lists 53.63 pp and 56.95%, which result from subtracting rounded values, and the thesis uses the count-based figures throughout. The guidelines describe recovery as the accuracy after mitigation; for that reason CA after mitigation is always reported alongside RR. Computational overhead comprises pruning and fine-tuning time, inference latency per batch and per image, and memory.</w:t>
      </w:r>
    </w:p>
    <w:p>
      <w:pPr>
        <w:pStyle w:val="Heading2"/>
        <w:keepNext/>
        <w:spacing w:after="100" w:before="180"/>
      </w:pPr>
      <w:r>
        <w:rPr>
          <w:rFonts w:ascii="Times New Roman" w:cs="Times New Roman" w:eastAsia="Times New Roman" w:hAnsi="Times New Roman"/>
          <w:b/>
          <w:bCs/>
          <w:i/>
          <w:iCs/>
          <w:sz w:val="22"/>
          <w:szCs w:val="22"/>
        </w:rPr>
        <w:t xml:space="preserve">D. Experiment Inventory and Hyperparameters</w:t>
      </w:r>
    </w:p>
    <w:p>
      <w:pPr>
        <w:spacing w:after="120" w:line="288"/>
        <w:ind w:firstLine="360"/>
        <w:jc w:val="both"/>
      </w:pPr>
      <w:r>
        <w:rPr>
          <w:rFonts w:ascii="Times New Roman" w:cs="Times New Roman" w:eastAsia="Times New Roman" w:hAnsi="Times New Roman"/>
        </w:rPr>
        <w:t xml:space="preserve">Because experiments were run at different times, their training settings differ. Table IV lists them explicitly. Results from experiments with different settings must not be compared directly; this matters in Section V-J, where the same nominal trigger gives different ASR under different hyperparameters.</w:t>
      </w:r>
    </w:p>
    <w:p>
      <w:pPr>
        <w:keepNext/>
        <w:spacing w:after="60" w:before="160"/>
        <w:jc w:val="center"/>
      </w:pPr>
      <w:r>
        <w:rPr>
          <w:rFonts w:ascii="Times New Roman" w:cs="Times New Roman" w:eastAsia="Times New Roman" w:hAnsi="Times New Roman"/>
          <w:sz w:val="17"/>
          <w:szCs w:val="17"/>
        </w:rPr>
        <w:t xml:space="preserve">TABLE IV</w:t>
      </w:r>
      <w:r>
        <w:br/>
        <w:t xml:space="preserve"/>
      </w:r>
      <w:r>
        <w:rPr>
          <w:rFonts w:ascii="Times New Roman" w:cs="Times New Roman" w:eastAsia="Times New Roman" w:hAnsi="Times New Roman"/>
          <w:sz w:val="17"/>
          <w:szCs w:val="17"/>
        </w:rPr>
        <w:t xml:space="preserve">EXPERIMENT INVENTORY AND TRAINING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000"/>
        <w:gridCol w:w="1000"/>
        <w:gridCol w:w="1760"/>
        <w:gridCol w:w="1800"/>
      </w:tblGrid>
      <w:tr>
        <w:trPr>
          <w:cantSplit/>
          <w:tblHeader/>
        </w:trPr>
        <w:tc>
          <w:tcPr>
            <w:tcW w:type="dxa" w:w="38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Experiment</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Epochs</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Batch</w:t>
            </w:r>
          </w:p>
        </w:tc>
        <w:tc>
          <w:tcPr>
            <w:tcW w:type="dxa" w:w="17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Learning rate</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Poison rate</w:t>
            </w:r>
          </w:p>
        </w:tc>
      </w:tr>
      <w:tr>
        <w:trPr>
          <w:cantSplit/>
        </w:trPr>
        <w:tc>
          <w:tcPr>
            <w:tcW w:type="dxa" w:w="3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Main baseline, detection, recovery</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64</w:t>
            </w:r>
          </w:p>
        </w:tc>
        <w:tc>
          <w:tcPr>
            <w:tcW w:type="dxa" w:w="17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0.0005</w:t>
            </w:r>
          </w:p>
        </w:tc>
        <w:tc>
          <w:tcPr>
            <w:tcW w:type="dxa" w:w="1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10%</w:t>
            </w:r>
          </w:p>
        </w:tc>
      </w:tr>
      <w:tr>
        <w:trPr>
          <w:cantSplit/>
        </w:trPr>
        <w:tc>
          <w:tcPr>
            <w:tcW w:type="dxa" w:w="3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Poisoning-rate study</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64</w:t>
            </w:r>
          </w:p>
        </w:tc>
        <w:tc>
          <w:tcPr>
            <w:tcW w:type="dxa" w:w="17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0.0005</w:t>
            </w:r>
          </w:p>
        </w:tc>
        <w:tc>
          <w:tcPr>
            <w:tcW w:type="dxa" w:w="1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1, 5, 10%</w:t>
            </w:r>
          </w:p>
        </w:tc>
      </w:tr>
      <w:tr>
        <w:trPr>
          <w:cantSplit/>
        </w:trPr>
        <w:tc>
          <w:tcPr>
            <w:tcW w:type="dxa" w:w="3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Trigger-shape study</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128</w:t>
            </w:r>
          </w:p>
        </w:tc>
        <w:tc>
          <w:tcPr>
            <w:tcW w:type="dxa" w:w="17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0.0005</w:t>
            </w:r>
          </w:p>
        </w:tc>
        <w:tc>
          <w:tcPr>
            <w:tcW w:type="dxa" w:w="1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10%</w:t>
            </w:r>
          </w:p>
        </w:tc>
      </w:tr>
      <w:tr>
        <w:trPr>
          <w:cantSplit/>
        </w:trPr>
        <w:tc>
          <w:tcPr>
            <w:tcW w:type="dxa" w:w="3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Trigger size and position study</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128</w:t>
            </w:r>
          </w:p>
        </w:tc>
        <w:tc>
          <w:tcPr>
            <w:tcW w:type="dxa" w:w="17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0.001</w:t>
            </w:r>
          </w:p>
        </w:tc>
        <w:tc>
          <w:tcPr>
            <w:tcW w:type="dxa" w:w="1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10%</w:t>
            </w:r>
          </w:p>
        </w:tc>
      </w:tr>
    </w:tbl>
    <w:p>
      <w:pPr>
        <w:spacing w:after="160"/>
      </w:pPr>
    </w:p>
    <w:p>
      <w:pPr>
        <w:pStyle w:val="Heading2"/>
        <w:keepNext/>
        <w:spacing w:after="100" w:before="180"/>
      </w:pPr>
      <w:r>
        <w:rPr>
          <w:rFonts w:ascii="Times New Roman" w:cs="Times New Roman" w:eastAsia="Times New Roman" w:hAnsi="Times New Roman"/>
          <w:b/>
          <w:bCs/>
          <w:i/>
          <w:iCs/>
          <w:sz w:val="22"/>
          <w:szCs w:val="22"/>
        </w:rPr>
        <w:t xml:space="preserve">E. Primary Results and Treatment of Earlier Logs</w:t>
      </w:r>
    </w:p>
    <w:p>
      <w:pPr>
        <w:spacing w:after="120" w:line="288"/>
        <w:ind w:firstLine="360"/>
        <w:jc w:val="both"/>
      </w:pPr>
      <w:r>
        <w:rPr>
          <w:rFonts w:ascii="Times New Roman" w:cs="Times New Roman" w:eastAsia="Times New Roman" w:hAnsi="Times New Roman"/>
        </w:rPr>
        <w:t xml:space="preserve">The results in this thesis come from the final standardised runs: the baseline BadNets model (CA 78.40%, ASR 94.17%), the detection experiments, and fine-pruning at 20%, 30% and 40% pruning, all sharing the same baseline. An earlier development log reports values that differ from these. It gives a baseline ASR of 95.77% (8,619 of 9,000 triggered images) instead of 94.17% (8,475 of 9,000), a clean-CNN accuracy of 11.79%, and a fine-pruning experiment at 10% pruning that starts from a model with ASR 51.77% and ends at 2.51% ASR with 78.58% CA. The baseline, clean-CNN and 10% fine-pruning values are not used in the main analysis because they could not be reconciled with the standardised baseline. Two other results from the same log are kept and marked as indicative: the Isolation Forest contamination sweep, whose 0.10 row matches the final results exactly, and the full-dataset filtering run, whose 94.56% ASR was measured in a log with a different baseline and so can only be compared approximately with 94.17%. In particular, the 51.77% starting ASR of the fine-pruning run conflicts with the 95.77% reported for the backdoored model in the same log, which is unexpected because both are reported for a backdoored model with 78.40% CA. The file records show that the earlier fine-pruning run and the standardised experiments loaded different checkpoint files: backdoored</w:t>
      </w:r>
      <w:r>
        <w:rPr>
          <w:rFonts w:ascii="Times New Roman" w:cs="Times New Roman" w:eastAsia="Times New Roman" w:hAnsi="Times New Roman"/>
          <w:i/>
          <w:iCs/>
        </w:rPr>
        <w:t xml:space="preserve">cnn</w:t>
      </w:r>
      <w:r>
        <w:rPr>
          <w:rFonts w:ascii="Times New Roman" w:cs="Times New Roman" w:eastAsia="Times New Roman" w:hAnsi="Times New Roman"/>
        </w:rPr>
        <w:t xml:space="preserve">best.pth (modified 4 September 2026, SHA-256 prefix 9979D9E9) and backdoored</w:t>
      </w:r>
      <w:r>
        <w:rPr>
          <w:rFonts w:ascii="Times New Roman" w:cs="Times New Roman" w:eastAsia="Times New Roman" w:hAnsi="Times New Roman"/>
          <w:i/>
          <w:iCs/>
        </w:rPr>
        <w:t xml:space="preserve">cnn</w:t>
      </w:r>
      <w:r>
        <w:rPr>
          <w:rFonts w:ascii="Times New Roman" w:cs="Times New Roman" w:eastAsia="Times New Roman" w:hAnsi="Times New Roman"/>
        </w:rPr>
        <w:t xml:space="preserve">10percent_best.pth (modified 13 September 2026, SHA-256 prefix E2FE6AE3), whose reported baseline ASR values are 51.77% and 94.17%. A different starting checkpoint is therefore the most likely explanation. It has not yet been confirmed by evaluating both files under one identical protocol, so it remains an inference, and it does not explain the separate 95.77% value reported elsewhere in the same log. The 10% result is therefore treated as a preliminary, non-comparable experiment: a backdoor that starts at 51.77% ASR is intrinsically easier to remove than one that starts at 94.17%, so 2.51% cannot be compared with the 40.54% obtained at 40% pruning. The 11.79% accuracy is close to the 10% chance level for ten classes and is most likely an evaluation artefact, so that model is not used. </w:t>
      </w:r>
      <w:r>
        <w:rPr>
          <w:rFonts w:ascii="Times New Roman" w:cs="Times New Roman" w:eastAsia="Times New Roman" w:hAnsi="Times New Roman"/>
          <w:b/>
          <w:bCs/>
        </w:rPr>
        <w:t xml:space="preserve">The primary fine-pruning result of this thesis is the 40% configuration (CA 73.24%, ASR 40.54%, RR 56.94%).</w:t>
      </w:r>
      <w:r>
        <w:rPr>
          <w:rFonts w:ascii="Times New Roman" w:cs="Times New Roman" w:eastAsia="Times New Roman" w:hAnsi="Times New Roman"/>
        </w:rPr>
        <w:t xml:space="preserve"> Appendix C lists all discrepancies.</w:t>
      </w:r>
    </w:p>
    <w:p>
      <w:pPr>
        <w:pStyle w:val="Heading1"/>
        <w:keepNext/>
        <w:spacing w:after="160" w:before="280"/>
        <w:jc w:val="center"/>
      </w:pPr>
      <w:r>
        <w:rPr>
          <w:rFonts w:ascii="Times New Roman" w:cs="Times New Roman" w:eastAsia="Times New Roman" w:hAnsi="Times New Roman"/>
          <w:b/>
          <w:bCs/>
          <w:sz w:val="24"/>
          <w:szCs w:val="24"/>
        </w:rPr>
        <w:t xml:space="preserve">V. RESULTS AND QUANTITATIVE ANALYSIS</w:t>
      </w:r>
    </w:p>
    <w:p>
      <w:pPr>
        <w:pStyle w:val="Heading2"/>
        <w:keepNext/>
        <w:spacing w:after="100" w:before="180"/>
      </w:pPr>
      <w:r>
        <w:rPr>
          <w:rFonts w:ascii="Times New Roman" w:cs="Times New Roman" w:eastAsia="Times New Roman" w:hAnsi="Times New Roman"/>
          <w:b/>
          <w:bCs/>
          <w:i/>
          <w:iCs/>
          <w:sz w:val="22"/>
          <w:szCs w:val="22"/>
        </w:rPr>
        <w:t xml:space="preserve">A. Undefended Baseline and Poisoning Rate</w:t>
      </w:r>
    </w:p>
    <w:p>
      <w:pPr>
        <w:spacing w:after="120" w:line="288"/>
        <w:ind w:firstLine="360"/>
        <w:jc w:val="both"/>
      </w:pPr>
      <w:r>
        <w:rPr>
          <w:rFonts w:ascii="Times New Roman" w:cs="Times New Roman" w:eastAsia="Times New Roman" w:hAnsi="Times New Roman"/>
        </w:rPr>
        <w:t xml:space="preserve">The undefended BadNets model reaches 78.40% CA and 94.17% ASR, with 8,475 of 9,000 triggered images classified as the target class. Fig. 4 shows a clean image and its triggered counterpart.</w:t>
      </w:r>
    </w:p>
    <w:p>
      <w:pPr>
        <w:keepNext/>
        <w:spacing w:after="60" w:before="120"/>
        <w:jc w:val="center"/>
      </w:pPr>
      <w:r>
        <w:drawing>
          <wp:inline distT="0" distB="0" distL="0" distR="0">
            <wp:extent cx="3276600" cy="1638300"/>
            <wp:effectExtent t="0" r="0" b="0" l="0"/>
            <wp:docPr id="1" name="fig4" descr="A clean CIFAR-10 image and the same image with the BadNets trigger at the bottom-right corner."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76600" cy="1638300"/>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4. A clean CIFAR-10 image and the same image with the BadNets trigger at the bottom-right corner.</w:t>
      </w:r>
    </w:p>
    <w:p>
      <w:pPr>
        <w:spacing w:after="120" w:line="288"/>
        <w:ind w:firstLine="360"/>
        <w:jc w:val="both"/>
      </w:pPr>
      <w:r>
        <w:rPr>
          <w:rFonts w:ascii="Times New Roman" w:cs="Times New Roman" w:eastAsia="Times New Roman" w:hAnsi="Times New Roman"/>
        </w:rPr>
        <w:t xml:space="preserve">Table V and Fig. 5 show the effect of the poisoning rate. Clean accuracy is essentially unchanged (78.91%, 78.83%, 78.40%), so the backdoor cannot be noticed from accuracy alone. ASR rises steeply: 57.86% with only 500 poisoned samples (1%), 86.92% at 5% and 94.17% at 10%. A backdoor is thus already effective at a poisoning rate that is small enough to be hard to see in a data audit.</w:t>
      </w:r>
    </w:p>
    <w:p>
      <w:pPr>
        <w:keepNext/>
        <w:spacing w:after="60" w:before="160"/>
        <w:jc w:val="center"/>
      </w:pPr>
      <w:r>
        <w:rPr>
          <w:rFonts w:ascii="Times New Roman" w:cs="Times New Roman" w:eastAsia="Times New Roman" w:hAnsi="Times New Roman"/>
          <w:sz w:val="17"/>
          <w:szCs w:val="17"/>
        </w:rPr>
        <w:t xml:space="preserve">TABLE V</w:t>
      </w:r>
      <w:r>
        <w:br/>
        <w:t xml:space="preserve"/>
      </w:r>
      <w:r>
        <w:rPr>
          <w:rFonts w:ascii="Times New Roman" w:cs="Times New Roman" w:eastAsia="Times New Roman" w:hAnsi="Times New Roman"/>
          <w:sz w:val="17"/>
          <w:szCs w:val="17"/>
        </w:rPr>
        <w:t xml:space="preserve">EFFECT OF THE POISONING RATE ON THE BADNETS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80"/>
        <w:gridCol w:w="2480"/>
      </w:tblGrid>
      <w:tr>
        <w:trPr>
          <w:cantSplit/>
          <w:tblHeader/>
        </w:trPr>
        <w:tc>
          <w:tcPr>
            <w:tcW w:type="dxa" w:w="2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Poison rate</w:t>
            </w:r>
          </w:p>
        </w:tc>
        <w:tc>
          <w:tcPr>
            <w:tcW w:type="dxa" w:w="2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Poisoned samples</w:t>
            </w:r>
          </w:p>
        </w:tc>
        <w:tc>
          <w:tcPr>
            <w:tcW w:type="dxa" w:w="248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Clean accuracy (%)</w:t>
            </w:r>
          </w:p>
        </w:tc>
        <w:tc>
          <w:tcPr>
            <w:tcW w:type="dxa" w:w="248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ASR (%)</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500</w:t>
            </w:r>
          </w:p>
        </w:tc>
        <w:tc>
          <w:tcPr>
            <w:tcW w:type="dxa" w:w="2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78.91</w:t>
            </w:r>
          </w:p>
        </w:tc>
        <w:tc>
          <w:tcPr>
            <w:tcW w:type="dxa" w:w="2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57.86</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2,500</w:t>
            </w:r>
          </w:p>
        </w:tc>
        <w:tc>
          <w:tcPr>
            <w:tcW w:type="dxa" w:w="2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78.83</w:t>
            </w:r>
          </w:p>
        </w:tc>
        <w:tc>
          <w:tcPr>
            <w:tcW w:type="dxa" w:w="2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86.92</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10%</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5,000</w:t>
            </w:r>
          </w:p>
        </w:tc>
        <w:tc>
          <w:tcPr>
            <w:tcW w:type="dxa" w:w="2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78.40</w:t>
            </w:r>
          </w:p>
        </w:tc>
        <w:tc>
          <w:tcPr>
            <w:tcW w:type="dxa" w:w="2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94.17</w:t>
            </w:r>
          </w:p>
        </w:tc>
      </w:tr>
    </w:tbl>
    <w:p>
      <w:pPr>
        <w:spacing w:after="160"/>
      </w:pPr>
    </w:p>
    <w:p>
      <w:pPr>
        <w:keepNext/>
        <w:spacing w:after="60" w:before="120"/>
        <w:jc w:val="center"/>
      </w:pPr>
      <w:r>
        <w:drawing>
          <wp:inline distT="0" distB="0" distL="0" distR="0">
            <wp:extent cx="3114675" cy="1819275"/>
            <wp:effectExtent t="0" r="0" b="0" l="0"/>
            <wp:docPr id="1" name="fig5" descr="Clean accuracy and ASR for poisoning rates of 1%, 5% and 10%."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14675" cy="181927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5. Clean accuracy and ASR for poisoning rates of 1%, 5% and 10%.</w:t>
      </w:r>
    </w:p>
    <w:p>
      <w:pPr>
        <w:pStyle w:val="Heading2"/>
        <w:keepNext/>
        <w:spacing w:after="100" w:before="180"/>
      </w:pPr>
      <w:r>
        <w:rPr>
          <w:rFonts w:ascii="Times New Roman" w:cs="Times New Roman" w:eastAsia="Times New Roman" w:hAnsi="Times New Roman"/>
          <w:b/>
          <w:bCs/>
          <w:i/>
          <w:iCs/>
          <w:sz w:val="22"/>
          <w:szCs w:val="22"/>
        </w:rPr>
        <w:t xml:space="preserve">B. Data-Level and Model-Level Detection at 10% Poisoning</w:t>
      </w:r>
    </w:p>
    <w:p>
      <w:pPr>
        <w:spacing w:after="120" w:line="288"/>
        <w:ind w:firstLine="360"/>
        <w:jc w:val="both"/>
      </w:pPr>
      <w:r>
        <w:rPr>
          <w:rFonts w:ascii="Times New Roman" w:cs="Times New Roman" w:eastAsia="Times New Roman" w:hAnsi="Times New Roman"/>
        </w:rPr>
        <w:t xml:space="preserve">Table VI summarises detection at 10% poisoning on the 5,000-sample inspection set (500 poisoned, 4,500 clean), together with STRIP, which operates at the input level. Spectral Signatures reaches 97.92% accuracy with 89.60% TPR and 1.16% FPR. Activation Clustering reaches 97.42% accuracy with 74.20% TPR and 0.00% FPR: the smaller of the two clusters contained 371 samples and every one of them was poisoned, so precision is perfect but 129 poisoned samples were missed. Isolation Forest on CNN features gives 89.40% accuracy with 47.00% TPR and 5.89% FPR, and STRIP gives 71.90% accuracy with 67.20% TPR and a high FPR of 23.40% (Figs. 6 and 7).</w:t>
      </w:r>
    </w:p>
    <w:p>
      <w:pPr>
        <w:keepNext/>
        <w:spacing w:after="60" w:before="160"/>
        <w:jc w:val="center"/>
      </w:pPr>
      <w:r>
        <w:rPr>
          <w:rFonts w:ascii="Times New Roman" w:cs="Times New Roman" w:eastAsia="Times New Roman" w:hAnsi="Times New Roman"/>
          <w:sz w:val="17"/>
          <w:szCs w:val="17"/>
        </w:rPr>
        <w:t xml:space="preserve">TABLE VI</w:t>
      </w:r>
      <w:r>
        <w:br/>
        <w:t xml:space="preserve"/>
      </w:r>
      <w:r>
        <w:rPr>
          <w:rFonts w:ascii="Times New Roman" w:cs="Times New Roman" w:eastAsia="Times New Roman" w:hAnsi="Times New Roman"/>
          <w:sz w:val="17"/>
          <w:szCs w:val="17"/>
        </w:rPr>
        <w:t xml:space="preserve">DETECTION RESULTS AT 10% POISONING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200"/>
        <w:gridCol w:w="1200"/>
        <w:gridCol w:w="2660"/>
      </w:tblGrid>
      <w:tr>
        <w:trPr>
          <w:cantSplit/>
          <w:tblHeader/>
        </w:trPr>
        <w:tc>
          <w:tcPr>
            <w:tcW w:type="dxa" w:w="29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Method</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Accuracy (%)</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TPR (%)</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FPR (%)</w:t>
            </w:r>
          </w:p>
        </w:tc>
        <w:tc>
          <w:tcPr>
            <w:tcW w:type="dxa" w:w="26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Note</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Isolation Forest (CNN features)</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89.40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47.00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5.89</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Contamination 0.10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Activation Clustering</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97.42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74.20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0.00</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Smaller cluster flagged</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Spectral Signatures</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97.92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89.60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1.16</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Known poison count</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STRIP</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71.90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67.20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23.40</w:t>
            </w:r>
          </w:p>
        </w:tc>
        <w:tc>
          <w:tcPr>
            <w:tcW w:type="dxa" w:w="26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Threshold from labelled data</w:t>
            </w:r>
          </w:p>
        </w:tc>
      </w:tr>
    </w:tbl>
    <w:p>
      <w:pPr>
        <w:spacing w:after="160"/>
      </w:pPr>
    </w:p>
    <w:p>
      <w:pPr>
        <w:keepNext/>
        <w:spacing w:after="60" w:before="120"/>
        <w:jc w:val="center"/>
      </w:pPr>
      <w:r>
        <w:drawing>
          <wp:inline distT="0" distB="0" distL="0" distR="0">
            <wp:extent cx="3276600" cy="1704975"/>
            <wp:effectExtent t="0" r="0" b="0" l="0"/>
            <wp:docPr id="1" name="fig6" descr="Detection accuracy of the four detection methods at 10% poisoning."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76600" cy="170497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6. Detection accuracy of the four detection methods at 10% poisoning.</w:t>
      </w:r>
    </w:p>
    <w:p>
      <w:pPr>
        <w:keepNext/>
        <w:spacing w:after="60" w:before="120"/>
        <w:jc w:val="center"/>
      </w:pPr>
      <w:r>
        <w:drawing>
          <wp:inline distT="0" distB="0" distL="0" distR="0">
            <wp:extent cx="3600450" cy="2143125"/>
            <wp:effectExtent t="0" r="0" b="0" l="0"/>
            <wp:docPr id="1" name="fig7" descr="True positive rate and false positive rate of the detection methods at 10% poisoning."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00450" cy="21431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7. True positive rate and false positive rate of the detection methods at 10% poisoning.</w:t>
      </w:r>
    </w:p>
    <w:p>
      <w:pPr>
        <w:spacing w:after="120" w:line="288"/>
        <w:ind w:firstLine="360"/>
        <w:jc w:val="both"/>
      </w:pPr>
      <w:r>
        <w:rPr>
          <w:rFonts w:ascii="Times New Roman" w:cs="Times New Roman" w:eastAsia="Times New Roman" w:hAnsi="Times New Roman"/>
        </w:rPr>
        <w:t xml:space="preserve">Detection accuracy is a weak indicator when classes are imbalanced, so the true and false positive rates matter more. The contamination experiment for Isolation Forest illustrates this trade-off: raising the assumed contamination from 0.05 to 0.20 raises TPR from 32.40% to 68.00% but also raises FPR from 1.96% to 14.67% and lowers accuracy from 91.48% to 83.60%.</w:t>
      </w:r>
    </w:p>
    <w:p>
      <w:pPr>
        <w:pStyle w:val="Heading2"/>
        <w:keepNext/>
        <w:spacing w:after="100" w:before="180"/>
      </w:pPr>
      <w:r>
        <w:rPr>
          <w:rFonts w:ascii="Times New Roman" w:cs="Times New Roman" w:eastAsia="Times New Roman" w:hAnsi="Times New Roman"/>
          <w:b/>
          <w:bCs/>
          <w:i/>
          <w:iCs/>
          <w:sz w:val="22"/>
          <w:szCs w:val="22"/>
        </w:rPr>
        <w:t xml:space="preserve">C. Injection Rate versus Detection Effectiveness</w:t>
      </w:r>
    </w:p>
    <w:p>
      <w:pPr>
        <w:spacing w:after="120" w:line="288"/>
        <w:ind w:firstLine="360"/>
        <w:jc w:val="both"/>
      </w:pPr>
      <w:r>
        <w:rPr>
          <w:rFonts w:ascii="Times New Roman" w:cs="Times New Roman" w:eastAsia="Times New Roman" w:hAnsi="Times New Roman"/>
        </w:rPr>
        <w:t xml:space="preserve">Detection effectiveness depends strongly on the poisoning rate (Table VII, Figs. 8 to 10). At 1% poisoning the accuracy of Isolation Forest (98.08%) and Spectral Signatures (98.04%) looks excellent, but this is almost exactly the share of clean samples in the set (99%), and their TPR is only 4.00% and 2.00%. At 5% Spectral Signatures reaches 3.20% TPR and Isolation Forest 26.80%. Activation Clustering is the only method with non-trivial TPR at low rates (38.00% and 36.40%), but at the cost of FPR above 30% and precision of 1.23% and 5.95%, because its size heuristic mislabels large clusters. Only at 10% do the methods separate poison reliably. A defender whose attacker uses a low injection rate therefore cannot rely on any of these detectors.</w:t>
      </w:r>
    </w:p>
    <w:p>
      <w:pPr>
        <w:keepNext/>
        <w:spacing w:after="60" w:before="160"/>
        <w:jc w:val="center"/>
      </w:pPr>
      <w:r>
        <w:rPr>
          <w:rFonts w:ascii="Times New Roman" w:cs="Times New Roman" w:eastAsia="Times New Roman" w:hAnsi="Times New Roman"/>
          <w:sz w:val="17"/>
          <w:szCs w:val="17"/>
        </w:rPr>
        <w:t xml:space="preserve">TABLE VII</w:t>
      </w:r>
      <w:r>
        <w:br/>
        <w:t xml:space="preserve"/>
      </w:r>
      <w:r>
        <w:rPr>
          <w:rFonts w:ascii="Times New Roman" w:cs="Times New Roman" w:eastAsia="Times New Roman" w:hAnsi="Times New Roman"/>
          <w:sz w:val="17"/>
          <w:szCs w:val="17"/>
        </w:rPr>
        <w:t xml:space="preserve">INJECTION RATE VERSUS DETECTION PERFORMANCE (5,000-SAMPLE INSPECTION SET)</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1000"/>
        <w:gridCol w:w="1000"/>
        <w:gridCol w:w="1000"/>
        <w:gridCol w:w="1100"/>
        <w:gridCol w:w="1160"/>
      </w:tblGrid>
      <w:tr>
        <w:trPr>
          <w:cantSplit/>
          <w:tblHeader/>
        </w:trPr>
        <w:tc>
          <w:tcPr>
            <w:tcW w:type="dxa" w:w="8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Rate</w:t>
            </w:r>
          </w:p>
        </w:tc>
        <w:tc>
          <w:tcPr>
            <w:tcW w:type="dxa" w:w="23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Method</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Acc. (%)</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TPR (%)</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FPR (%)</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Prec. (%)</w:t>
            </w:r>
          </w:p>
        </w:tc>
        <w:tc>
          <w:tcPr>
            <w:tcW w:type="dxa" w:w="11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F1 (%)</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Isolation Forest</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98.08</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0.97</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4.00</w:t>
            </w:r>
          </w:p>
        </w:tc>
        <w:tc>
          <w:tcPr>
            <w:tcW w:type="dxa" w:w="1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4.00</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Activation Clustering</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68.78</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38.00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30.91</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1.23</w:t>
            </w:r>
          </w:p>
        </w:tc>
        <w:tc>
          <w:tcPr>
            <w:tcW w:type="dxa" w:w="1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2.38</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Spectral Signatures</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98.04</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2.00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0.99</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2.00</w:t>
            </w:r>
          </w:p>
        </w:tc>
        <w:tc>
          <w:tcPr>
            <w:tcW w:type="dxa" w:w="1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2.00</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Isolation Forest</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92.68</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26.80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3.85</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26.80</w:t>
            </w:r>
          </w:p>
        </w:tc>
        <w:tc>
          <w:tcPr>
            <w:tcW w:type="dxa" w:w="1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26.80</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Activation Clustering</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68.04</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36.40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30.29</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5.95</w:t>
            </w:r>
          </w:p>
        </w:tc>
        <w:tc>
          <w:tcPr>
            <w:tcW w:type="dxa" w:w="1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10.22</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Spectral Signatures</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90.32</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3.20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5.09</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3.20</w:t>
            </w:r>
          </w:p>
        </w:tc>
        <w:tc>
          <w:tcPr>
            <w:tcW w:type="dxa" w:w="1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3.20</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10%</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Isolation Forest</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89.40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47.00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5.89</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47.00</w:t>
            </w:r>
          </w:p>
        </w:tc>
        <w:tc>
          <w:tcPr>
            <w:tcW w:type="dxa" w:w="1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47.00</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10%</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Activation Clustering</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97.42</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74.20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0.00</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100.00</w:t>
            </w:r>
          </w:p>
        </w:tc>
        <w:tc>
          <w:tcPr>
            <w:tcW w:type="dxa" w:w="1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85.19</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10%</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Spectral Signatures</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97.92</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89.60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1.16</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89.60</w:t>
            </w:r>
          </w:p>
        </w:tc>
        <w:tc>
          <w:tcPr>
            <w:tcW w:type="dxa" w:w="1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89.60</w:t>
            </w:r>
          </w:p>
        </w:tc>
      </w:tr>
    </w:tbl>
    <w:p>
      <w:pPr>
        <w:spacing w:after="160"/>
      </w:pPr>
    </w:p>
    <w:p>
      <w:pPr>
        <w:keepNext/>
        <w:spacing w:after="60" w:before="120"/>
        <w:jc w:val="center"/>
      </w:pPr>
      <w:r>
        <w:drawing>
          <wp:inline distT="0" distB="0" distL="0" distR="0">
            <wp:extent cx="3276600" cy="2181225"/>
            <wp:effectExtent t="0" r="0" b="0" l="0"/>
            <wp:docPr id="1" name="fig8" descr="Detection accuracy versus poisoning rate."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76600" cy="21812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8. Detection accuracy versus poisoning rate.</w:t>
      </w:r>
    </w:p>
    <w:p>
      <w:pPr>
        <w:keepNext/>
        <w:spacing w:after="60" w:before="120"/>
        <w:jc w:val="center"/>
      </w:pPr>
      <w:r>
        <w:drawing>
          <wp:inline distT="0" distB="0" distL="0" distR="0">
            <wp:extent cx="3276600" cy="2181225"/>
            <wp:effectExtent t="0" r="0" b="0" l="0"/>
            <wp:docPr id="1" name="fig9" descr="True positive rate versus poisoning rate."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76600" cy="21812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9. True positive rate versus poisoning rate.</w:t>
      </w:r>
    </w:p>
    <w:p>
      <w:pPr>
        <w:keepNext/>
        <w:spacing w:after="60" w:before="120"/>
        <w:jc w:val="center"/>
      </w:pPr>
      <w:r>
        <w:drawing>
          <wp:inline distT="0" distB="0" distL="0" distR="0">
            <wp:extent cx="3276600" cy="2181225"/>
            <wp:effectExtent t="0" r="0" b="0" l="0"/>
            <wp:docPr id="1" name="fig10" descr="False positive rate versus poisoning rate."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76600" cy="21812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10. False positive rate versus poisoning rate.</w:t>
      </w:r>
    </w:p>
    <w:p>
      <w:pPr>
        <w:pStyle w:val="Heading2"/>
        <w:keepNext/>
        <w:spacing w:after="100" w:before="180"/>
      </w:pPr>
      <w:r>
        <w:rPr>
          <w:rFonts w:ascii="Times New Roman" w:cs="Times New Roman" w:eastAsia="Times New Roman" w:hAnsi="Times New Roman"/>
          <w:b/>
          <w:bCs/>
          <w:i/>
          <w:iCs/>
          <w:sz w:val="22"/>
          <w:szCs w:val="22"/>
        </w:rPr>
        <w:t xml:space="preserve">D. Model-Level Analysis</w:t>
      </w:r>
    </w:p>
    <w:p>
      <w:pPr>
        <w:spacing w:after="120" w:line="288"/>
        <w:ind w:firstLine="360"/>
        <w:jc w:val="both"/>
      </w:pPr>
      <w:r>
        <w:rPr>
          <w:rFonts w:ascii="Times New Roman" w:cs="Times New Roman" w:eastAsia="Times New Roman" w:hAnsi="Times New Roman"/>
        </w:rPr>
        <w:t xml:space="preserve">The Neural Cleanse-style search identified class 0 as the target class, and the corresponding target-class ASR reached 99.80%. The ABS-style stimulation flagged channel 47 of the second convolutional layer, associated with class 0, with a stimulation score of 5.3586. Both prototypes thus point to the correct target, which supports the use of model-level analysis as a complement to data-level detection when poisoned samples are not available. The implementations are simplified, so the numbers should be read as evidence that the target is recoverable in this setting, not as a benchmark of the original methods.</w:t>
      </w:r>
    </w:p>
    <w:p>
      <w:pPr>
        <w:pStyle w:val="Heading2"/>
        <w:keepNext/>
        <w:spacing w:after="100" w:before="180"/>
      </w:pPr>
      <w:r>
        <w:rPr>
          <w:rFonts w:ascii="Times New Roman" w:cs="Times New Roman" w:eastAsia="Times New Roman" w:hAnsi="Times New Roman"/>
          <w:b/>
          <w:bCs/>
          <w:i/>
          <w:iCs/>
          <w:sz w:val="22"/>
          <w:szCs w:val="22"/>
        </w:rPr>
        <w:t xml:space="preserve">E. Recovery by Fine-Pruning</w:t>
      </w:r>
    </w:p>
    <w:p>
      <w:pPr>
        <w:spacing w:after="120" w:line="288"/>
        <w:ind w:firstLine="360"/>
        <w:jc w:val="both"/>
      </w:pPr>
      <w:r>
        <w:rPr>
          <w:rFonts w:ascii="Times New Roman" w:cs="Times New Roman" w:eastAsia="Times New Roman" w:hAnsi="Times New Roman"/>
        </w:rPr>
        <w:t xml:space="preserve">Fine-pruning reduces ASR monotonically with the pruning ratio at a moderate cost in clean accuracy (Table VIII, Figs. 11 to 14). At 20% configured pruning, ASR falls from 94.17% to 69.10% (25.07 pp, RR 26.62%) and CA to 74.97%. At 30%, ASR is 56.49% (37.68 pp, RR 40.01%) and CA 74.06%. At 40%, ASR is 40.54% (53.62 pp, RR 56.94%) and CA 73.24%, a loss of 5.16 pp. The backdoor is therefore substantially mitigated but not removed; more than 40% of triggered images still reach the target class. Increasing the pruning ratio further would be expected to reduce ASR more, but with a growing price in CA, which was not tested. These three runs share one baseline (ASR 94.17%) and form the primary fine-pruning result, the best being the 40% configuration. The preliminary 10% run from an earlier log (Section IV-E and Appendix C) started from a different baseline and is not comparable; its provisional values are given in Table XX of Appendix C.</w:t>
      </w:r>
    </w:p>
    <w:p>
      <w:pPr>
        <w:keepNext/>
        <w:spacing w:after="60" w:before="160"/>
        <w:jc w:val="center"/>
      </w:pPr>
      <w:r>
        <w:rPr>
          <w:rFonts w:ascii="Times New Roman" w:cs="Times New Roman" w:eastAsia="Times New Roman" w:hAnsi="Times New Roman"/>
          <w:sz w:val="17"/>
          <w:szCs w:val="17"/>
        </w:rPr>
        <w:t xml:space="preserve">TABLE VIII</w:t>
      </w:r>
      <w:r>
        <w:br/>
        <w:t xml:space="preserve"/>
      </w:r>
      <w:r>
        <w:rPr>
          <w:rFonts w:ascii="Times New Roman" w:cs="Times New Roman" w:eastAsia="Times New Roman" w:hAnsi="Times New Roman"/>
          <w:sz w:val="17"/>
          <w:szCs w:val="17"/>
        </w:rPr>
        <w:t xml:space="preserve">FINE-PRUNING RECOVERY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200"/>
        <w:gridCol w:w="1250"/>
        <w:gridCol w:w="1250"/>
        <w:gridCol w:w="1500"/>
        <w:gridCol w:w="1460"/>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Configured</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Actual</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CA (%)</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ΔCA (pp)</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ASR (%)</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ΔASR (pp)</w:t>
            </w:r>
          </w:p>
        </w:tc>
        <w:tc>
          <w:tcPr>
            <w:tcW w:type="dxa" w:w="14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RR (%)</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Baseline</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78.40</w:t>
            </w:r>
          </w:p>
        </w:tc>
        <w:tc>
          <w:tcPr>
            <w:tcW w:type="dxa" w:w="1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w:t>
            </w:r>
          </w:p>
        </w:tc>
        <w:tc>
          <w:tcPr>
            <w:tcW w:type="dxa" w:w="1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94.17</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20%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19.20%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74.97</w:t>
            </w:r>
          </w:p>
        </w:tc>
        <w:tc>
          <w:tcPr>
            <w:tcW w:type="dxa" w:w="1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−3.43</w:t>
            </w:r>
          </w:p>
        </w:tc>
        <w:tc>
          <w:tcPr>
            <w:tcW w:type="dxa" w:w="1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69.10</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−25.07</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26.62</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30%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29.46%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74.06</w:t>
            </w:r>
          </w:p>
        </w:tc>
        <w:tc>
          <w:tcPr>
            <w:tcW w:type="dxa" w:w="1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−4.34</w:t>
            </w:r>
          </w:p>
        </w:tc>
        <w:tc>
          <w:tcPr>
            <w:tcW w:type="dxa" w:w="1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56.49</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−37.68</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40.01</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40%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39.29%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73.24</w:t>
            </w:r>
          </w:p>
        </w:tc>
        <w:tc>
          <w:tcPr>
            <w:tcW w:type="dxa" w:w="1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−5.16</w:t>
            </w:r>
          </w:p>
        </w:tc>
        <w:tc>
          <w:tcPr>
            <w:tcW w:type="dxa" w:w="1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40.54</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−53.62</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56.94</w:t>
            </w:r>
          </w:p>
        </w:tc>
      </w:tr>
    </w:tbl>
    <w:p>
      <w:pPr>
        <w:spacing w:after="160"/>
      </w:pPr>
    </w:p>
    <w:p>
      <w:pPr>
        <w:keepNext/>
        <w:spacing w:after="60" w:before="120"/>
        <w:jc w:val="center"/>
      </w:pPr>
      <w:r>
        <w:drawing>
          <wp:inline distT="0" distB="0" distL="0" distR="0">
            <wp:extent cx="3276600" cy="1962150"/>
            <wp:effectExtent t="0" r="0" b="0" l="0"/>
            <wp:docPr id="1" name="fig11" descr="ASR after fine-pruning at 20%, 30% and 40% configured pruning."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76600" cy="1962150"/>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11. ASR after fine-pruning at 20%, 30% and 40% configured pruning.</w:t>
      </w:r>
    </w:p>
    <w:p>
      <w:pPr>
        <w:keepNext/>
        <w:spacing w:after="60" w:before="120"/>
        <w:jc w:val="center"/>
      </w:pPr>
      <w:r>
        <w:drawing>
          <wp:inline distT="0" distB="0" distL="0" distR="0">
            <wp:extent cx="3276600" cy="1952625"/>
            <wp:effectExtent t="0" r="0" b="0" l="0"/>
            <wp:docPr id="1" name="fig12" descr="ASR reduction in percentage points for each pruning ratio." title="Fi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76600" cy="19526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12. ASR reduction in percentage points for each pruning ratio.</w:t>
      </w:r>
    </w:p>
    <w:p>
      <w:pPr>
        <w:keepNext/>
        <w:spacing w:after="60" w:before="120"/>
        <w:jc w:val="center"/>
      </w:pPr>
      <w:r>
        <w:drawing>
          <wp:inline distT="0" distB="0" distL="0" distR="0">
            <wp:extent cx="3276600" cy="1962150"/>
            <wp:effectExtent t="0" r="0" b="0" l="0"/>
            <wp:docPr id="1" name="fig13" descr="Clean accuracy and ASR across pruning configurations." title="Fi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76600" cy="1962150"/>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13. Clean accuracy and ASR across pruning configurations.</w:t>
      </w:r>
    </w:p>
    <w:p>
      <w:pPr>
        <w:keepNext/>
        <w:spacing w:after="60" w:before="120"/>
        <w:jc w:val="center"/>
      </w:pPr>
      <w:r>
        <w:drawing>
          <wp:inline distT="0" distB="0" distL="0" distR="0">
            <wp:extent cx="3276600" cy="1952625"/>
            <wp:effectExtent t="0" r="0" b="0" l="0"/>
            <wp:docPr id="1" name="fig14" descr="Recovery rate for each fine-pruning configuration." title="Fi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76600" cy="19526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14. Recovery rate for each fine-pruning configuration.</w:t>
      </w:r>
    </w:p>
    <w:p>
      <w:pPr>
        <w:pStyle w:val="Heading2"/>
        <w:keepNext/>
        <w:spacing w:after="100" w:before="180"/>
      </w:pPr>
      <w:r>
        <w:rPr>
          <w:rFonts w:ascii="Times New Roman" w:cs="Times New Roman" w:eastAsia="Times New Roman" w:hAnsi="Times New Roman"/>
          <w:b/>
          <w:bCs/>
          <w:i/>
          <w:iCs/>
          <w:sz w:val="22"/>
          <w:szCs w:val="22"/>
        </w:rPr>
        <w:t xml:space="preserve">F. Filtering Only and the Sequential Pipeline</w:t>
      </w:r>
    </w:p>
    <w:p>
      <w:pPr>
        <w:spacing w:after="120" w:line="288"/>
        <w:ind w:firstLine="360"/>
        <w:jc w:val="both"/>
      </w:pPr>
      <w:r>
        <w:rPr>
          <w:rFonts w:ascii="Times New Roman" w:cs="Times New Roman" w:eastAsia="Times New Roman" w:hAnsi="Times New Roman"/>
        </w:rPr>
        <w:t xml:space="preserve">Two experiments tested whether acting on detection output helps. In the first, Isolation Forest was applied to the full 50,000-sample training set; it flagged samples with 46.00% TPR and 6.00% FPR in 152.51 s (0.00305 s per sample), 5,000 samples were removed, and a model retrained on the remaining 45,000 reached 76.21% CA and 94.56% ASR. These values come from an earlier experiment log whose baseline differs slightly from the final standardised baseline (94.17%), so they are indicative only; the important point is that ASR did not fall. Because the TPR is 46%, about 2,700 poisoned samples remain, which is evidently enough to implant the backdoor, a result consistent with the 57.86% ASR obtained with only 500 poisoned samples (Table V).</w:t>
      </w:r>
    </w:p>
    <w:p>
      <w:pPr>
        <w:spacing w:after="120" w:line="288"/>
        <w:ind w:firstLine="360"/>
        <w:jc w:val="both"/>
      </w:pPr>
      <w:r>
        <w:rPr>
          <w:rFonts w:ascii="Times New Roman" w:cs="Times New Roman" w:eastAsia="Times New Roman" w:hAnsi="Times New Roman"/>
        </w:rPr>
        <w:t xml:space="preserve">In the second experiment, the sequential pipeline of Fig. 3(B), detection on the 5,000-sample set removed 500 samples, the model was retrained on 49,500 samples (CA 76.34%, ASR 96.89%), and fine-pruning at 29.46% followed. The final model had CA 74.43% and ASR 98.58%, an ASR change of +4.41 pp and a recovery rate of −4.68% (Table IX, Fig. 15). Total recovery time was 1,383.56 s. Detection and filtering at a TPR near 47% thus failed to remove the backdoor, and subsequent pruning did not recover the 56.49% ASR that standalone pruning at 30% achieved. A likely explanation is that pruning and fine-tuning on a dataset that still contains thousands of poisoned samples re-establish the trigger pathway, but the experiments here do not isolate that mechanism and it should be treated as a hypothesis.</w:t>
      </w:r>
    </w:p>
    <w:p>
      <w:pPr>
        <w:keepNext/>
        <w:spacing w:after="60" w:before="160"/>
        <w:jc w:val="center"/>
      </w:pPr>
      <w:r>
        <w:rPr>
          <w:rFonts w:ascii="Times New Roman" w:cs="Times New Roman" w:eastAsia="Times New Roman" w:hAnsi="Times New Roman"/>
          <w:sz w:val="17"/>
          <w:szCs w:val="17"/>
        </w:rPr>
        <w:t xml:space="preserve">TABLE IX</w:t>
      </w:r>
      <w:r>
        <w:br/>
        <w:t xml:space="preserve"/>
      </w:r>
      <w:r>
        <w:rPr>
          <w:rFonts w:ascii="Times New Roman" w:cs="Times New Roman" w:eastAsia="Times New Roman" w:hAnsi="Times New Roman"/>
          <w:sz w:val="17"/>
          <w:szCs w:val="17"/>
        </w:rPr>
        <w:t xml:space="preserve">FILTERING-BASED RECOVERY VERSUS STANDALONE FINE-PRUNING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1200"/>
        <w:gridCol w:w="1300"/>
        <w:gridCol w:w="21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Strategy</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CA (%)</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ASR (%)</w:t>
            </w:r>
          </w:p>
        </w:tc>
        <w:tc>
          <w:tcPr>
            <w:tcW w:type="dxa" w:w="13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RR (%)</w:t>
            </w:r>
          </w:p>
        </w:tc>
        <w:tc>
          <w:tcPr>
            <w:tcW w:type="dxa" w:w="21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Time (s)</w:t>
            </w:r>
          </w:p>
        </w:tc>
      </w:tr>
      <w:tr>
        <w:trPr>
          <w:cantSplit/>
        </w:trPr>
        <w:tc>
          <w:tcPr>
            <w:tcW w:type="dxa" w:w="3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Undefended baseline</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78.40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94.17</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w:t>
            </w:r>
          </w:p>
        </w:tc>
        <w:tc>
          <w:tcPr>
            <w:tcW w:type="dxa" w:w="2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w:t>
            </w:r>
          </w:p>
        </w:tc>
      </w:tr>
      <w:tr>
        <w:trPr>
          <w:cantSplit/>
        </w:trPr>
        <w:tc>
          <w:tcPr>
            <w:tcW w:type="dxa" w:w="3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Filter only, retrain (full set, indicative)</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76.21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94.56</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about 0</w:t>
            </w:r>
          </w:p>
        </w:tc>
        <w:tc>
          <w:tcPr>
            <w:tcW w:type="dxa" w:w="2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152.51 detection</w:t>
            </w:r>
          </w:p>
        </w:tc>
      </w:tr>
      <w:tr>
        <w:trPr>
          <w:cantSplit/>
        </w:trPr>
        <w:tc>
          <w:tcPr>
            <w:tcW w:type="dxa" w:w="3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Sequential, partial inspection</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74.43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98.58</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−4.68</w:t>
            </w:r>
          </w:p>
        </w:tc>
        <w:tc>
          <w:tcPr>
            <w:tcW w:type="dxa" w:w="2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1,383.56</w:t>
            </w:r>
          </w:p>
        </w:tc>
      </w:tr>
      <w:tr>
        <w:trPr>
          <w:cantSplit/>
        </w:trPr>
        <w:tc>
          <w:tcPr>
            <w:tcW w:type="dxa" w:w="3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Fine-pruning 30% (standalone)</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74.06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56.49</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40.01</w:t>
            </w:r>
          </w:p>
        </w:tc>
        <w:tc>
          <w:tcPr>
            <w:tcW w:type="dxa" w:w="21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435.59</w:t>
            </w:r>
          </w:p>
        </w:tc>
      </w:tr>
    </w:tbl>
    <w:p>
      <w:pPr>
        <w:spacing w:after="160"/>
      </w:pPr>
    </w:p>
    <w:p>
      <w:pPr>
        <w:keepNext/>
        <w:spacing w:after="60" w:before="120"/>
        <w:jc w:val="center"/>
      </w:pPr>
      <w:r>
        <w:drawing>
          <wp:inline distT="0" distB="0" distL="0" distR="0">
            <wp:extent cx="3600450" cy="1876425"/>
            <wp:effectExtent t="0" r="0" b="0" l="0"/>
            <wp:docPr id="1" name="fig15" descr="ASR across recovery strategies: filtering did not help, the sequential pipeline raised ASR, and standalone fine-pruning reduced it." title="Fi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00450" cy="18764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15. ASR across recovery strategies: filtering did not help, the sequential pipeline raised ASR, and standalone fine-pruning reduced it.</w:t>
      </w:r>
    </w:p>
    <w:p>
      <w:pPr>
        <w:pStyle w:val="Heading2"/>
        <w:keepNext/>
        <w:spacing w:after="100" w:before="180"/>
      </w:pPr>
      <w:r>
        <w:rPr>
          <w:rFonts w:ascii="Times New Roman" w:cs="Times New Roman" w:eastAsia="Times New Roman" w:hAnsi="Times New Roman"/>
          <w:b/>
          <w:bCs/>
          <w:i/>
          <w:iCs/>
          <w:sz w:val="22"/>
          <w:szCs w:val="22"/>
        </w:rPr>
        <w:t xml:space="preserve">G. Ablation Study</w:t>
      </w:r>
    </w:p>
    <w:p>
      <w:pPr>
        <w:spacing w:after="120" w:line="288"/>
        <w:ind w:firstLine="360"/>
        <w:jc w:val="both"/>
      </w:pPr>
      <w:r>
        <w:rPr>
          <w:rFonts w:ascii="Times New Roman" w:cs="Times New Roman" w:eastAsia="Times New Roman" w:hAnsi="Times New Roman"/>
        </w:rPr>
        <w:t xml:space="preserve">Table X reports the ablation of the framework layers. The undefended model and the detection-only configuration are identical in CA and ASR (78.40% and 94.17%) because detectors flag samples but do not modify the model. All configurations that include recovery take the values of the 40% fine-pruning run (73.24% CA, 40.54% ASR, RR 56.94%). The Detection+Recovery and Full Framework rows equal the Recovery-only row because the recovery stage operates directly on the backdoored model and does not consume detection output, and the monitoring layer does not change predictions. These rows should therefore not be read as evidence that combining layers adds benefit. When detection output is actually used to filter data before recovery, the result is worse (Section V-F). The answer to RQ4 is accordingly negative for the tested composition.</w:t>
      </w:r>
    </w:p>
    <w:p>
      <w:pPr>
        <w:keepNext/>
        <w:spacing w:after="60" w:before="160"/>
        <w:jc w:val="center"/>
      </w:pPr>
      <w:r>
        <w:rPr>
          <w:rFonts w:ascii="Times New Roman" w:cs="Times New Roman" w:eastAsia="Times New Roman" w:hAnsi="Times New Roman"/>
          <w:sz w:val="17"/>
          <w:szCs w:val="17"/>
        </w:rPr>
        <w:t xml:space="preserve">TABLE X</w:t>
      </w:r>
      <w:r>
        <w:br/>
        <w:t xml:space="preserve"/>
      </w:r>
      <w:r>
        <w:rPr>
          <w:rFonts w:ascii="Times New Roman" w:cs="Times New Roman" w:eastAsia="Times New Roman" w:hAnsi="Times New Roman"/>
          <w:sz w:val="17"/>
          <w:szCs w:val="17"/>
        </w:rPr>
        <w:t xml:space="preserve">ABLATION OF FRAMEWORK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700"/>
        <w:gridCol w:w="700"/>
        <w:gridCol w:w="700"/>
        <w:gridCol w:w="1000"/>
        <w:gridCol w:w="1000"/>
        <w:gridCol w:w="1500"/>
        <w:gridCol w:w="1360"/>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Configuration</w:t>
            </w: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Det.</w:t>
            </w: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Rec.</w:t>
            </w: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Mon.</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CA (%)</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ASR (%)</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ΔASR (pp)</w:t>
            </w:r>
          </w:p>
        </w:tc>
        <w:tc>
          <w:tcPr>
            <w:tcW w:type="dxa" w:w="1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RR (%)</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Baseline</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78.40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94.17</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0.00</w:t>
            </w:r>
          </w:p>
        </w:tc>
        <w:tc>
          <w:tcPr>
            <w:tcW w:type="dxa" w:w="1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N/A</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Detection only</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78.40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94.17</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0.00</w:t>
            </w:r>
          </w:p>
        </w:tc>
        <w:tc>
          <w:tcPr>
            <w:tcW w:type="dxa" w:w="1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N/A</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Recovery only</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73.24</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40.54</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53.62</w:t>
            </w:r>
          </w:p>
        </w:tc>
        <w:tc>
          <w:tcPr>
            <w:tcW w:type="dxa" w:w="1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56.94</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Detection + Recovery</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73.24</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40.54</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53.62</w:t>
            </w:r>
          </w:p>
        </w:tc>
        <w:tc>
          <w:tcPr>
            <w:tcW w:type="dxa" w:w="1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56.94</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Full framework</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73.24</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40.54</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53.62</w:t>
            </w:r>
          </w:p>
        </w:tc>
        <w:tc>
          <w:tcPr>
            <w:tcW w:type="dxa" w:w="1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56.94</w:t>
            </w:r>
          </w:p>
        </w:tc>
      </w:tr>
    </w:tbl>
    <w:p>
      <w:pPr>
        <w:spacing w:after="160"/>
      </w:pPr>
    </w:p>
    <w:p>
      <w:pPr>
        <w:pStyle w:val="Heading2"/>
        <w:keepNext/>
        <w:spacing w:after="100" w:before="180"/>
      </w:pPr>
      <w:r>
        <w:rPr>
          <w:rFonts w:ascii="Times New Roman" w:cs="Times New Roman" w:eastAsia="Times New Roman" w:hAnsi="Times New Roman"/>
          <w:b/>
          <w:bCs/>
          <w:i/>
          <w:iCs/>
          <w:sz w:val="22"/>
          <w:szCs w:val="22"/>
        </w:rPr>
        <w:t xml:space="preserve">H. Computational Overhead</w:t>
      </w:r>
    </w:p>
    <w:p>
      <w:pPr>
        <w:spacing w:after="120" w:line="288"/>
        <w:ind w:firstLine="360"/>
        <w:jc w:val="both"/>
      </w:pPr>
      <w:r>
        <w:rPr>
          <w:rFonts w:ascii="Times New Roman" w:cs="Times New Roman" w:eastAsia="Times New Roman" w:hAnsi="Times New Roman"/>
        </w:rPr>
        <w:t xml:space="preserve">Table XI and Fig. 16 give the recovery cost. Pruning itself is almost free (13.77 s, 16.09 s and 15.45 s). Fine-tuning dominates: 372.19 s, 368.61 s and 602.93 s, giving totals of 436.69 s, 435.59 s and 692.78 s. The 40% configuration costs about 59% more time than 20%, although ASR is also much lower. The sequential pipeline costs 1,383.56 s, over three times the standalone 30% run, for a worse outcome.</w:t>
      </w:r>
    </w:p>
    <w:p>
      <w:pPr>
        <w:keepNext/>
        <w:spacing w:after="60" w:before="160"/>
        <w:jc w:val="center"/>
      </w:pPr>
      <w:r>
        <w:rPr>
          <w:rFonts w:ascii="Times New Roman" w:cs="Times New Roman" w:eastAsia="Times New Roman" w:hAnsi="Times New Roman"/>
          <w:sz w:val="17"/>
          <w:szCs w:val="17"/>
        </w:rPr>
        <w:t xml:space="preserve">TABLE XI</w:t>
      </w:r>
      <w:r>
        <w:br/>
        <w:t xml:space="preserve"/>
      </w:r>
      <w:r>
        <w:rPr>
          <w:rFonts w:ascii="Times New Roman" w:cs="Times New Roman" w:eastAsia="Times New Roman" w:hAnsi="Times New Roman"/>
          <w:sz w:val="17"/>
          <w:szCs w:val="17"/>
        </w:rPr>
        <w:t xml:space="preserve">RECOVERY TIME FOR FINE-PRUNING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1900"/>
        <w:gridCol w:w="1760"/>
      </w:tblGrid>
      <w:tr>
        <w:trPr>
          <w:cantSplit/>
          <w:tblHeader/>
        </w:trPr>
        <w:tc>
          <w:tcPr>
            <w:tcW w:type="dxa" w:w="2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Configuration</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Pruning (s)</w:t>
            </w:r>
          </w:p>
        </w:tc>
        <w:tc>
          <w:tcPr>
            <w:tcW w:type="dxa" w:w="2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Fine-tuning (s)</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Total (s)</w:t>
            </w:r>
          </w:p>
        </w:tc>
        <w:tc>
          <w:tcPr>
            <w:tcW w:type="dxa" w:w="17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Best epoch</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20%</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13.77</w:t>
            </w:r>
          </w:p>
        </w:tc>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372.19</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436.69</w:t>
            </w:r>
          </w:p>
        </w:tc>
        <w:tc>
          <w:tcPr>
            <w:tcW w:type="dxa" w:w="17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30%</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16.09</w:t>
            </w:r>
          </w:p>
        </w:tc>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368.61</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435.59</w:t>
            </w:r>
          </w:p>
        </w:tc>
        <w:tc>
          <w:tcPr>
            <w:tcW w:type="dxa" w:w="17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10</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40%</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15.45</w:t>
            </w:r>
          </w:p>
        </w:tc>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602.93</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692.78</w:t>
            </w:r>
          </w:p>
        </w:tc>
        <w:tc>
          <w:tcPr>
            <w:tcW w:type="dxa" w:w="17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10</w:t>
            </w:r>
          </w:p>
        </w:tc>
      </w:tr>
    </w:tbl>
    <w:p>
      <w:pPr>
        <w:spacing w:after="160"/>
      </w:pPr>
    </w:p>
    <w:p>
      <w:pPr>
        <w:keepNext/>
        <w:spacing w:after="60" w:before="120"/>
        <w:jc w:val="center"/>
      </w:pPr>
      <w:r>
        <w:drawing>
          <wp:inline distT="0" distB="0" distL="0" distR="0">
            <wp:extent cx="3276600" cy="1952625"/>
            <wp:effectExtent t="0" r="0" b="0" l="0"/>
            <wp:docPr id="1" name="fig16" descr="Total fine-pruning time for each configuration." title="Fi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76600" cy="19526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16. Total fine-pruning time for each configuration.</w:t>
      </w:r>
    </w:p>
    <w:p>
      <w:pPr>
        <w:spacing w:after="120" w:line="288"/>
        <w:ind w:firstLine="360"/>
        <w:jc w:val="both"/>
      </w:pPr>
      <w:r>
        <w:rPr>
          <w:rFonts w:ascii="Times New Roman" w:cs="Times New Roman" w:eastAsia="Times New Roman" w:hAnsi="Times New Roman"/>
        </w:rPr>
        <w:t xml:space="preserve">Inference cost was measured on CPU with batch size 64 over 50 timed batches (Table XII). Parameter count and parameter memory are identical for all models (620,362 parameters, 2.37 MB), consistent with pruning implemented by zeroing filters rather than removing them. The measured latencies (60.68 ms per batch for the baseline; 73.61, 56.07 and 55.01 ms for 20%, 30% and 40%) differ by amounts that are within the variation expected for single, CPU-based timing runs, and the negative memory increase for the 20% model is a measurement artefact. No inference speed-up or memory saving can therefore be claimed from this pruning scheme; structural pruning that removes filters would be needed for that.</w:t>
      </w:r>
    </w:p>
    <w:p>
      <w:pPr>
        <w:keepNext/>
        <w:spacing w:after="60" w:before="160"/>
        <w:jc w:val="center"/>
      </w:pPr>
      <w:r>
        <w:rPr>
          <w:rFonts w:ascii="Times New Roman" w:cs="Times New Roman" w:eastAsia="Times New Roman" w:hAnsi="Times New Roman"/>
          <w:sz w:val="17"/>
          <w:szCs w:val="17"/>
        </w:rPr>
        <w:t xml:space="preserve">TABLE XII</w:t>
      </w:r>
      <w:r>
        <w:br/>
        <w:t xml:space="preserve"/>
      </w:r>
      <w:r>
        <w:rPr>
          <w:rFonts w:ascii="Times New Roman" w:cs="Times New Roman" w:eastAsia="Times New Roman" w:hAnsi="Times New Roman"/>
          <w:sz w:val="17"/>
          <w:szCs w:val="17"/>
        </w:rPr>
        <w:t xml:space="preserve">INFERENCE LATENCY AND MEMORY BENCHMARK (CPU, BATCH 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900"/>
        <w:gridCol w:w="1900"/>
        <w:gridCol w:w="1860"/>
      </w:tblGrid>
      <w:tr>
        <w:trPr>
          <w:cantSplit/>
          <w:tblHeader/>
        </w:trPr>
        <w:tc>
          <w:tcPr>
            <w:tcW w:type="dxa" w:w="23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Model</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Params</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Batch latency (ms)</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Image latency (ms)</w:t>
            </w:r>
          </w:p>
        </w:tc>
        <w:tc>
          <w:tcPr>
            <w:tcW w:type="dxa" w:w="18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Mem. increase (MB)</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Baseline</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620,362</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60.68</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0.948</w:t>
            </w:r>
          </w:p>
        </w:tc>
        <w:tc>
          <w:tcPr>
            <w:tcW w:type="dxa" w:w="18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13.35</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Fine-pruning 20%</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620,362</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73.61</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1.150</w:t>
            </w:r>
          </w:p>
        </w:tc>
        <w:tc>
          <w:tcPr>
            <w:tcW w:type="dxa" w:w="18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−8.19</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Fine-pruning 30%</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620,362</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56.07</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0.876</w:t>
            </w:r>
          </w:p>
        </w:tc>
        <w:tc>
          <w:tcPr>
            <w:tcW w:type="dxa" w:w="18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6.04</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Fine-pruning 40%</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620,362</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55.01</w:t>
            </w:r>
          </w:p>
        </w:tc>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0.859</w:t>
            </w:r>
          </w:p>
        </w:tc>
        <w:tc>
          <w:tcPr>
            <w:tcW w:type="dxa" w:w="18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2.00</w:t>
            </w:r>
          </w:p>
        </w:tc>
      </w:tr>
    </w:tbl>
    <w:p>
      <w:pPr>
        <w:spacing w:after="160"/>
      </w:pPr>
    </w:p>
    <w:p>
      <w:pPr>
        <w:pStyle w:val="Heading2"/>
        <w:keepNext/>
        <w:spacing w:after="100" w:before="180"/>
      </w:pPr>
      <w:r>
        <w:rPr>
          <w:rFonts w:ascii="Times New Roman" w:cs="Times New Roman" w:eastAsia="Times New Roman" w:hAnsi="Times New Roman"/>
          <w:b/>
          <w:bCs/>
          <w:i/>
          <w:iCs/>
          <w:sz w:val="22"/>
          <w:szCs w:val="22"/>
        </w:rPr>
        <w:t xml:space="preserve">I. Attacker Knowledge: Grey-Box versus White-Box</w:t>
      </w:r>
    </w:p>
    <w:p>
      <w:pPr>
        <w:spacing w:after="120" w:line="288"/>
        <w:ind w:firstLine="360"/>
        <w:jc w:val="both"/>
      </w:pPr>
      <w:r>
        <w:rPr>
          <w:rFonts w:ascii="Times New Roman" w:cs="Times New Roman" w:eastAsia="Times New Roman" w:hAnsi="Times New Roman"/>
        </w:rPr>
        <w:t xml:space="preserve">Table XIII and Fig. 17 compare the two knowledge settings. Both report CA 78.40%, ASR 94.17% (8,475 of 9,000) and target-class behaviour of 93.16%. The grey-box case grants training-data access without parameters or activations; the white-box case grants controlled data access plus parameters, internal features and convolutional activations (620,362 parameters, 3 convolutional and 2 linear layers, 256 features, 224 channels, mean activation 0.7249). Because both settings analyse the same trained model, the identical outcomes do not show that the two attackers are equally effective. The experiment documents which information each setting observes. A genuine comparison would require training separate attacks under each assumption.</w:t>
      </w:r>
    </w:p>
    <w:p>
      <w:pPr>
        <w:keepNext/>
        <w:spacing w:after="60" w:before="160"/>
        <w:jc w:val="center"/>
      </w:pPr>
      <w:r>
        <w:rPr>
          <w:rFonts w:ascii="Times New Roman" w:cs="Times New Roman" w:eastAsia="Times New Roman" w:hAnsi="Times New Roman"/>
          <w:sz w:val="17"/>
          <w:szCs w:val="17"/>
        </w:rPr>
        <w:t xml:space="preserve">TABLE XIII</w:t>
      </w:r>
      <w:r>
        <w:br/>
        <w:t xml:space="preserve"/>
      </w:r>
      <w:r>
        <w:rPr>
          <w:rFonts w:ascii="Times New Roman" w:cs="Times New Roman" w:eastAsia="Times New Roman" w:hAnsi="Times New Roman"/>
          <w:sz w:val="17"/>
          <w:szCs w:val="17"/>
        </w:rPr>
        <w:t xml:space="preserve">ATTACKER ACCESS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500"/>
        <w:gridCol w:w="1500"/>
        <w:gridCol w:w="1480"/>
        <w:gridCol w:w="1480"/>
      </w:tblGrid>
      <w:tr>
        <w:trPr>
          <w:cantSplit/>
          <w:tblHeader/>
        </w:trPr>
        <w:tc>
          <w:tcPr>
            <w:tcW w:type="dxa" w:w="1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Scenario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Training data</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Parameters</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Activations</w:t>
            </w:r>
          </w:p>
        </w:tc>
        <w:tc>
          <w:tcPr>
            <w:tcW w:type="dxa" w:w="148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CA (%)</w:t>
            </w:r>
          </w:p>
        </w:tc>
        <w:tc>
          <w:tcPr>
            <w:tcW w:type="dxa" w:w="148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ASR (%)</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Grey-box</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w:t>
            </w:r>
          </w:p>
        </w:tc>
        <w:tc>
          <w:tcPr>
            <w:tcW w:type="dxa" w:w="1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78.40</w:t>
            </w:r>
          </w:p>
        </w:tc>
        <w:tc>
          <w:tcPr>
            <w:tcW w:type="dxa" w:w="1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94.17</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White-box</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Controlled</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Yes</w:t>
            </w:r>
          </w:p>
        </w:tc>
        <w:tc>
          <w:tcPr>
            <w:tcW w:type="dxa" w:w="1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78.40</w:t>
            </w:r>
          </w:p>
        </w:tc>
        <w:tc>
          <w:tcPr>
            <w:tcW w:type="dxa" w:w="14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94.17</w:t>
            </w:r>
          </w:p>
        </w:tc>
      </w:tr>
    </w:tbl>
    <w:p>
      <w:pPr>
        <w:spacing w:after="160"/>
      </w:pPr>
    </w:p>
    <w:p>
      <w:pPr>
        <w:keepNext/>
        <w:spacing w:after="60" w:before="120"/>
        <w:jc w:val="center"/>
      </w:pPr>
      <w:r>
        <w:drawing>
          <wp:inline distT="0" distB="0" distL="0" distR="0">
            <wp:extent cx="3114675" cy="2066925"/>
            <wp:effectExtent t="0" r="0" b="0" l="0"/>
            <wp:docPr id="1" name="fig17" descr="Clean accuracy and ASR in the grey-box and white-box scenarios, which analyse the same trained model." title="Fi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14675" cy="20669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17. Clean accuracy and ASR in the grey-box and white-box scenarios, which analyse the same trained model.</w:t>
      </w:r>
    </w:p>
    <w:p>
      <w:pPr>
        <w:pStyle w:val="Heading2"/>
        <w:keepNext/>
        <w:spacing w:after="100" w:before="180"/>
      </w:pPr>
      <w:r>
        <w:rPr>
          <w:rFonts w:ascii="Times New Roman" w:cs="Times New Roman" w:eastAsia="Times New Roman" w:hAnsi="Times New Roman"/>
          <w:b/>
          <w:bCs/>
          <w:i/>
          <w:iCs/>
          <w:sz w:val="22"/>
          <w:szCs w:val="22"/>
        </w:rPr>
        <w:t xml:space="preserve">J. Trigger Size, Position and Shape</w:t>
      </w:r>
    </w:p>
    <w:p>
      <w:pPr>
        <w:spacing w:after="120" w:line="288"/>
        <w:ind w:firstLine="360"/>
        <w:jc w:val="both"/>
      </w:pPr>
      <w:r>
        <w:rPr>
          <w:rFonts w:ascii="Times New Roman" w:cs="Times New Roman" w:eastAsia="Times New Roman" w:hAnsi="Times New Roman"/>
        </w:rPr>
        <w:t xml:space="preserve">Trigger size and position were varied with 8 epochs, batch size 128 and learning rate 0.001 (Table XIV, Figs. 18 to 20). A 2x2 bottom-right trigger gives 88.53% ASR, while 3x3 and 4x4 bottom-right triggers give 97.84% and 97.96%, so the benefit of a larger trigger saturates near 3x3. A 3x3 trigger at the top-left gives the highest ASR (98.94%), so the corner chosen does not weaken the attack. CA stays between 74.19% and 75.66%.</w:t>
      </w:r>
    </w:p>
    <w:p>
      <w:pPr>
        <w:keepNext/>
        <w:spacing w:after="60" w:before="120"/>
        <w:jc w:val="center"/>
      </w:pPr>
      <w:r>
        <w:drawing>
          <wp:inline distT="0" distB="0" distL="0" distR="0">
            <wp:extent cx="3848100" cy="1000125"/>
            <wp:effectExtent t="0" r="0" b="0" l="0"/>
            <wp:docPr id="1" name="fig18" descr="The same image with the four trigger configurations: 2x2, 3x3 and 4x4 at bottom-right and 3x3 at top-left." title="Fi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48100" cy="10001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18. The same image with the four trigger configurations: 2x2, 3x3 and 4x4 at bottom-right and 3x3 at top-left.</w:t>
      </w:r>
    </w:p>
    <w:p>
      <w:pPr>
        <w:keepNext/>
        <w:spacing w:after="60" w:before="160"/>
        <w:jc w:val="center"/>
      </w:pPr>
      <w:r>
        <w:rPr>
          <w:rFonts w:ascii="Times New Roman" w:cs="Times New Roman" w:eastAsia="Times New Roman" w:hAnsi="Times New Roman"/>
          <w:sz w:val="17"/>
          <w:szCs w:val="17"/>
        </w:rPr>
        <w:t xml:space="preserve">TABLE XIV</w:t>
      </w:r>
      <w:r>
        <w:br/>
        <w:t xml:space="preserve"/>
      </w:r>
      <w:r>
        <w:rPr>
          <w:rFonts w:ascii="Times New Roman" w:cs="Times New Roman" w:eastAsia="Times New Roman" w:hAnsi="Times New Roman"/>
          <w:sz w:val="17"/>
          <w:szCs w:val="17"/>
        </w:rPr>
        <w:t xml:space="preserve">TRIGGER SIZE AND POSITION (10% POISONING, 8 EPOCHS, LR 0.001)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2400"/>
        <w:gridCol w:w="2060"/>
      </w:tblGrid>
      <w:tr>
        <w:trPr>
          <w:cantSplit/>
          <w:tblHeader/>
        </w:trPr>
        <w:tc>
          <w:tcPr>
            <w:tcW w:type="dxa" w:w="2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Configuration</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CA (%)</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ASR (%)</w:t>
            </w:r>
          </w:p>
        </w:tc>
        <w:tc>
          <w:tcPr>
            <w:tcW w:type="dxa" w:w="2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Successful attacks</w:t>
            </w:r>
          </w:p>
        </w:tc>
        <w:tc>
          <w:tcPr>
            <w:tcW w:type="dxa" w:w="20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Train time (s)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2x2 bottom-right</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74.55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88.53</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7,968 / 9,000</w:t>
            </w:r>
          </w:p>
        </w:tc>
        <w:tc>
          <w:tcPr>
            <w:tcW w:type="dxa" w:w="20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922</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3x3 bottom-right</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75.66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97.84</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8,806 / 9,000</w:t>
            </w:r>
          </w:p>
        </w:tc>
        <w:tc>
          <w:tcPr>
            <w:tcW w:type="dxa" w:w="20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945</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4x4 bottom-right</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74.79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97.96</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8,816 / 9,000</w:t>
            </w:r>
          </w:p>
        </w:tc>
        <w:tc>
          <w:tcPr>
            <w:tcW w:type="dxa" w:w="20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977</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3x3 top-left</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74.19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98.94</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8,905 / 9,000</w:t>
            </w:r>
          </w:p>
        </w:tc>
        <w:tc>
          <w:tcPr>
            <w:tcW w:type="dxa" w:w="20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987</w:t>
            </w:r>
          </w:p>
        </w:tc>
      </w:tr>
    </w:tbl>
    <w:p>
      <w:pPr>
        <w:spacing w:after="160"/>
      </w:pPr>
    </w:p>
    <w:p>
      <w:pPr>
        <w:keepNext/>
        <w:spacing w:after="60" w:before="120"/>
        <w:jc w:val="center"/>
      </w:pPr>
      <w:r>
        <w:drawing>
          <wp:inline distT="0" distB="0" distL="0" distR="0">
            <wp:extent cx="3276600" cy="1800225"/>
            <wp:effectExtent t="0" r="0" b="0" l="0"/>
            <wp:docPr id="1" name="fig19" descr="ASR for each trigger size and position." title="Fi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76600" cy="1800225"/>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19. ASR for each trigger size and position.</w:t>
      </w:r>
    </w:p>
    <w:p>
      <w:pPr>
        <w:keepNext/>
        <w:spacing w:after="60" w:before="120"/>
        <w:jc w:val="center"/>
      </w:pPr>
      <w:r>
        <w:drawing>
          <wp:inline distT="0" distB="0" distL="0" distR="0">
            <wp:extent cx="3438525" cy="1695450"/>
            <wp:effectExtent t="0" r="0" b="0" l="0"/>
            <wp:docPr id="1" name="fig20" descr="Clean accuracy and ASR for each trigger size and position." title="Fi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38525" cy="1695450"/>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20. Clean accuracy and ASR for each trigger size and position.</w:t>
      </w:r>
    </w:p>
    <w:p>
      <w:pPr>
        <w:spacing w:after="120" w:line="288"/>
        <w:ind w:firstLine="360"/>
        <w:jc w:val="both"/>
      </w:pPr>
      <w:r>
        <w:rPr>
          <w:rFonts w:ascii="Times New Roman" w:cs="Times New Roman" w:eastAsia="Times New Roman" w:hAnsi="Times New Roman"/>
        </w:rPr>
        <w:t xml:space="preserve">Trigger shape was varied within a 3x3 footprint (Table XV, Figs. 21 to 23) with 8 epochs, batch size 128 and learning rate 0.0005. Checkerboard gives the highest ASR (92.04%), followed by square (89.93%), cross (86.71%) and horizontal bar (81.84%), a range of 10.20 pp. CA lies between 70.45% and 71.94%. A pattern with more alternating pixels thus appears easier for the network to learn than a single bar, but the experiment uses one seed and one configuration, so the ordering is suggestive rather than established.</w:t>
      </w:r>
    </w:p>
    <w:p>
      <w:pPr>
        <w:keepNext/>
        <w:spacing w:after="60" w:before="120"/>
        <w:jc w:val="center"/>
      </w:pPr>
      <w:r>
        <w:drawing>
          <wp:inline distT="0" distB="0" distL="0" distR="0">
            <wp:extent cx="3771900" cy="1085850"/>
            <wp:effectExtent t="0" r="0" b="0" l="0"/>
            <wp:docPr id="1" name="fig21" descr="The four 3x3 trigger masks (white pixels are set to the trigger value)." title="Fi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771900" cy="1085850"/>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21. The four 3x3 trigger masks (white pixels are set to the trigger value).</w:t>
      </w:r>
    </w:p>
    <w:p>
      <w:pPr>
        <w:keepNext/>
        <w:spacing w:after="60" w:before="160"/>
        <w:jc w:val="center"/>
      </w:pPr>
      <w:r>
        <w:rPr>
          <w:rFonts w:ascii="Times New Roman" w:cs="Times New Roman" w:eastAsia="Times New Roman" w:hAnsi="Times New Roman"/>
          <w:sz w:val="17"/>
          <w:szCs w:val="17"/>
        </w:rPr>
        <w:t xml:space="preserve">TABLE XV</w:t>
      </w:r>
      <w:r>
        <w:br/>
        <w:t xml:space="preserve"/>
      </w:r>
      <w:r>
        <w:rPr>
          <w:rFonts w:ascii="Times New Roman" w:cs="Times New Roman" w:eastAsia="Times New Roman" w:hAnsi="Times New Roman"/>
          <w:sz w:val="17"/>
          <w:szCs w:val="17"/>
        </w:rPr>
        <w:t xml:space="preserve">TRIGGER SHAPE (3X3 BOTTOM-RIGHT, 10% POISONING, 8 EPOCHS, LR 0.0005)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2400"/>
        <w:gridCol w:w="2060"/>
      </w:tblGrid>
      <w:tr>
        <w:trPr>
          <w:cantSplit/>
          <w:tblHeader/>
        </w:trPr>
        <w:tc>
          <w:tcPr>
            <w:tcW w:type="dxa" w:w="2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Shape</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CA (%)</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ASR (%)</w:t>
            </w:r>
          </w:p>
        </w:tc>
        <w:tc>
          <w:tcPr>
            <w:tcW w:type="dxa" w:w="2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Successful attacks</w:t>
            </w:r>
          </w:p>
        </w:tc>
        <w:tc>
          <w:tcPr>
            <w:tcW w:type="dxa" w:w="20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Train time (s)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Square</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70.45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89.93</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8,094 / 9,000</w:t>
            </w:r>
          </w:p>
        </w:tc>
        <w:tc>
          <w:tcPr>
            <w:tcW w:type="dxa" w:w="20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1,169</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Cross</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71.67</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86.71</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7,804 / 9,000</w:t>
            </w:r>
          </w:p>
        </w:tc>
        <w:tc>
          <w:tcPr>
            <w:tcW w:type="dxa" w:w="20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1,146</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Horizontal bar</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71.17</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81.84</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7,366 / 9,000</w:t>
            </w:r>
          </w:p>
        </w:tc>
        <w:tc>
          <w:tcPr>
            <w:tcW w:type="dxa" w:w="20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1,134</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Checkerboard</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71.94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92.04</w:t>
            </w:r>
          </w:p>
        </w:tc>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8,284 / 9,000</w:t>
            </w:r>
          </w:p>
        </w:tc>
        <w:tc>
          <w:tcPr>
            <w:tcW w:type="dxa" w:w="20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1,122</w:t>
            </w:r>
          </w:p>
        </w:tc>
      </w:tr>
    </w:tbl>
    <w:p>
      <w:pPr>
        <w:spacing w:after="160"/>
      </w:pPr>
    </w:p>
    <w:p>
      <w:pPr>
        <w:keepNext/>
        <w:spacing w:after="60" w:before="120"/>
        <w:jc w:val="center"/>
      </w:pPr>
      <w:r>
        <w:drawing>
          <wp:inline distT="0" distB="0" distL="0" distR="0">
            <wp:extent cx="3276600" cy="2171700"/>
            <wp:effectExtent t="0" r="0" b="0" l="0"/>
            <wp:docPr id="1" name="fig22" descr="ASR by trigger shape." title="Fi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76600" cy="2171700"/>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22. ASR by trigger shape.</w:t>
      </w:r>
    </w:p>
    <w:p>
      <w:pPr>
        <w:keepNext/>
        <w:spacing w:after="60" w:before="120"/>
        <w:jc w:val="center"/>
      </w:pPr>
      <w:r>
        <w:drawing>
          <wp:inline distT="0" distB="0" distL="0" distR="0">
            <wp:extent cx="3114675" cy="2324100"/>
            <wp:effectExtent t="0" r="0" b="0" l="0"/>
            <wp:docPr id="1" name="fig23" descr="Clean accuracy versus ASR for each trigger shape." title="Fi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14675" cy="2324100"/>
                    </a:xfrm>
                    <a:prstGeom prst="rect">
                      <a:avLst/>
                    </a:prstGeom>
                  </pic:spPr>
                </pic:pic>
              </a:graphicData>
            </a:graphic>
          </wp:inline>
        </w:drawing>
      </w:r>
    </w:p>
    <w:p>
      <w:pPr>
        <w:spacing w:after="200"/>
        <w:jc w:val="center"/>
      </w:pPr>
      <w:r>
        <w:rPr>
          <w:rFonts w:ascii="Times New Roman" w:cs="Times New Roman" w:eastAsia="Times New Roman" w:hAnsi="Times New Roman"/>
          <w:sz w:val="18"/>
          <w:szCs w:val="18"/>
        </w:rPr>
        <w:t xml:space="preserve">Fig. 23. Clean accuracy versus ASR for each trigger shape.</w:t>
      </w:r>
    </w:p>
    <w:p>
      <w:pPr>
        <w:spacing w:after="120" w:line="288"/>
        <w:ind w:firstLine="360"/>
        <w:jc w:val="both"/>
      </w:pPr>
      <w:r>
        <w:rPr>
          <w:rFonts w:ascii="Times New Roman" w:cs="Times New Roman" w:eastAsia="Times New Roman" w:hAnsi="Times New Roman"/>
        </w:rPr>
        <w:t xml:space="preserve">The two 8-epoch studies cannot be pooled with the main baseline. A 3x3 square at the bottom-right gave 94.17% ASR (20 epochs, lr 0.0005), 89.93% (8 epochs, lr 0.0005) and 97.84% (8 epochs, lr 0.001). The spread of 7.9 pp for the same nominal trigger shows that ASR is sensitive to the training schedule, and it implies that the shape ordering above may partly reflect training variance.</w:t>
      </w:r>
    </w:p>
    <w:p>
      <w:pPr>
        <w:pStyle w:val="Heading2"/>
        <w:keepNext/>
        <w:spacing w:after="100" w:before="180"/>
      </w:pPr>
      <w:r>
        <w:rPr>
          <w:rFonts w:ascii="Times New Roman" w:cs="Times New Roman" w:eastAsia="Times New Roman" w:hAnsi="Times New Roman"/>
          <w:b/>
          <w:bCs/>
          <w:i/>
          <w:iCs/>
          <w:sz w:val="22"/>
          <w:szCs w:val="22"/>
        </w:rPr>
        <w:t xml:space="preserve">K. Access Control and Monitoring Simulation</w:t>
      </w:r>
    </w:p>
    <w:p>
      <w:pPr>
        <w:spacing w:after="120" w:line="288"/>
        <w:ind w:firstLine="360"/>
        <w:jc w:val="both"/>
      </w:pPr>
      <w:r>
        <w:rPr>
          <w:rFonts w:ascii="Times New Roman" w:cs="Times New Roman" w:eastAsia="Times New Roman" w:hAnsi="Times New Roman"/>
        </w:rPr>
        <w:t xml:space="preserve">Table XVI shows the monitoring log. The administrator's request against the undefended model (CA 78.40%, ASR 94.17%) raises an ALERT. The researcher's request against the recovered model (CA 73.24%, ASR 40.54%) is logged as NORMAL. The request from the unknown user is denied. The log demonstrates the intended operational behaviour: unauthorised access is blocked and a model with very high ASR is flagged. It also shows a weakness: a model whose ASR is still 40.54% is treated as normal, so the alert threshold is permissive. The log does not record the threshold, and the simulation does not measure detection latency or false alarms, so no quantitative claim is made about the monitoring layer.</w:t>
      </w:r>
    </w:p>
    <w:p>
      <w:pPr>
        <w:keepNext/>
        <w:spacing w:after="60" w:before="160"/>
        <w:jc w:val="center"/>
      </w:pPr>
      <w:r>
        <w:rPr>
          <w:rFonts w:ascii="Times New Roman" w:cs="Times New Roman" w:eastAsia="Times New Roman" w:hAnsi="Times New Roman"/>
          <w:sz w:val="17"/>
          <w:szCs w:val="17"/>
        </w:rPr>
        <w:t xml:space="preserve">TABLE XVI</w:t>
      </w:r>
      <w:r>
        <w:br/>
        <w:t xml:space="preserve"/>
      </w:r>
      <w:r>
        <w:rPr>
          <w:rFonts w:ascii="Times New Roman" w:cs="Times New Roman" w:eastAsia="Times New Roman" w:hAnsi="Times New Roman"/>
          <w:sz w:val="17"/>
          <w:szCs w:val="17"/>
        </w:rPr>
        <w:t xml:space="preserve">MODEL MONITORING LOG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400"/>
        <w:gridCol w:w="1400"/>
        <w:gridCol w:w="2560"/>
      </w:tblGrid>
      <w:tr>
        <w:trPr>
          <w:cantSplit/>
          <w:tblHeader/>
        </w:trPr>
        <w:tc>
          <w:tcPr>
            <w:tcW w:type="dxa" w:w="2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User</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Access</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CA (%)</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ASR (%)</w:t>
            </w:r>
          </w:p>
        </w:tc>
        <w:tc>
          <w:tcPr>
            <w:tcW w:type="dxa" w:w="25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Status</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admin</w:t>
            </w:r>
          </w:p>
        </w:tc>
        <w:tc>
          <w:tcPr>
            <w:tcW w:type="dxa" w:w="1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inference</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78.40</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94.17</w:t>
            </w:r>
          </w:p>
        </w:tc>
        <w:tc>
          <w:tcPr>
            <w:tcW w:type="dxa" w:w="2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ALERT</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researcher</w:t>
            </w:r>
          </w:p>
        </w:tc>
        <w:tc>
          <w:tcPr>
            <w:tcW w:type="dxa" w:w="1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inference</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73.24</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40.54</w:t>
            </w:r>
          </w:p>
        </w:tc>
        <w:tc>
          <w:tcPr>
            <w:tcW w:type="dxa" w:w="2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NORMAL</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unknown_user</w:t>
            </w:r>
          </w:p>
        </w:tc>
        <w:tc>
          <w:tcPr>
            <w:tcW w:type="dxa" w:w="1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inference</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78.40</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94.17</w:t>
            </w:r>
          </w:p>
        </w:tc>
        <w:tc>
          <w:tcPr>
            <w:tcW w:type="dxa" w:w="2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ACCESS_DENIED</w:t>
            </w:r>
          </w:p>
        </w:tc>
      </w:tr>
    </w:tbl>
    <w:p>
      <w:pPr>
        <w:spacing w:after="160"/>
      </w:pPr>
    </w:p>
    <w:p>
      <w:pPr>
        <w:pStyle w:val="Heading2"/>
        <w:keepNext/>
        <w:spacing w:after="100" w:before="180"/>
      </w:pPr>
      <w:r>
        <w:rPr>
          <w:rFonts w:ascii="Times New Roman" w:cs="Times New Roman" w:eastAsia="Times New Roman" w:hAnsi="Times New Roman"/>
          <w:b/>
          <w:bCs/>
          <w:i/>
          <w:iCs/>
          <w:sz w:val="22"/>
          <w:szCs w:val="22"/>
        </w:rPr>
        <w:t xml:space="preserve">L. Summary of Findings</w:t>
      </w:r>
    </w:p>
    <w:p>
      <w:pPr>
        <w:pStyle w:val="ListParagraph"/>
        <w:numPr>
          <w:ilvl w:val="0"/>
          <w:numId w:val="3"/>
        </w:numPr>
        <w:spacing w:after="60" w:line="276"/>
        <w:jc w:val="both"/>
      </w:pPr>
      <w:r>
        <w:rPr>
          <w:rFonts w:ascii="Times New Roman" w:cs="Times New Roman" w:eastAsia="Times New Roman" w:hAnsi="Times New Roman"/>
          <w:b/>
          <w:bCs/>
        </w:rPr>
        <w:t xml:space="preserve">RQ1.</w:t>
      </w:r>
      <w:r>
        <w:rPr>
          <w:rFonts w:ascii="Times New Roman" w:cs="Times New Roman" w:eastAsia="Times New Roman" w:hAnsi="Times New Roman"/>
        </w:rPr>
        <w:t xml:space="preserve"> ASR depends on poisoning rate (57.86% at 1% to 94.17% at 10%), on trigger size (saturating near 3x3) and, in this setup, on trigger shape and training schedule, while CA barely changes.</w:t>
      </w:r>
    </w:p>
    <w:p>
      <w:pPr>
        <w:pStyle w:val="ListParagraph"/>
        <w:numPr>
          <w:ilvl w:val="0"/>
          <w:numId w:val="3"/>
        </w:numPr>
        <w:spacing w:after="60" w:line="276"/>
        <w:jc w:val="both"/>
      </w:pPr>
      <w:r>
        <w:rPr>
          <w:rFonts w:ascii="Times New Roman" w:cs="Times New Roman" w:eastAsia="Times New Roman" w:hAnsi="Times New Roman"/>
          <w:b/>
          <w:bCs/>
        </w:rPr>
        <w:t xml:space="preserve">RQ2.</w:t>
      </w:r>
      <w:r>
        <w:rPr>
          <w:rFonts w:ascii="Times New Roman" w:cs="Times New Roman" w:eastAsia="Times New Roman" w:hAnsi="Times New Roman"/>
        </w:rPr>
        <w:t xml:space="preserve"> At 10% poisoning Spectral Signatures (89.60% TPR) and Activation Clustering (74.20% TPR, 0% FPR) detect poison well; at 1% and 5% every data-level detector either misses most poison or raises many false alarms.</w:t>
      </w:r>
    </w:p>
    <w:p>
      <w:pPr>
        <w:pStyle w:val="ListParagraph"/>
        <w:numPr>
          <w:ilvl w:val="0"/>
          <w:numId w:val="3"/>
        </w:numPr>
        <w:spacing w:after="60" w:line="276"/>
        <w:jc w:val="both"/>
      </w:pPr>
      <w:r>
        <w:rPr>
          <w:rFonts w:ascii="Times New Roman" w:cs="Times New Roman" w:eastAsia="Times New Roman" w:hAnsi="Times New Roman"/>
          <w:b/>
          <w:bCs/>
        </w:rPr>
        <w:t xml:space="preserve">RQ3.</w:t>
      </w:r>
      <w:r>
        <w:rPr>
          <w:rFonts w:ascii="Times New Roman" w:cs="Times New Roman" w:eastAsia="Times New Roman" w:hAnsi="Times New Roman"/>
        </w:rPr>
        <w:t xml:space="preserve"> Fine-pruning at 40% cuts ASR by 53.62 pp (RR 56.94%) for a 5.16 pp loss in CA and about 693 s of compute, without removing the backdoor and without reducing inference cost.</w:t>
      </w:r>
    </w:p>
    <w:p>
      <w:pPr>
        <w:pStyle w:val="ListParagraph"/>
        <w:numPr>
          <w:ilvl w:val="0"/>
          <w:numId w:val="3"/>
        </w:numPr>
        <w:spacing w:after="60" w:line="276"/>
        <w:jc w:val="both"/>
      </w:pPr>
      <w:r>
        <w:rPr>
          <w:rFonts w:ascii="Times New Roman" w:cs="Times New Roman" w:eastAsia="Times New Roman" w:hAnsi="Times New Roman"/>
          <w:b/>
          <w:bCs/>
        </w:rPr>
        <w:t xml:space="preserve">RQ4.</w:t>
      </w:r>
      <w:r>
        <w:rPr>
          <w:rFonts w:ascii="Times New Roman" w:cs="Times New Roman" w:eastAsia="Times New Roman" w:hAnsi="Times New Roman"/>
        </w:rPr>
        <w:t xml:space="preserve"> Combining detection, filtering and pruning did not beat standalone fine-pruning; the sequential pipeline raised ASR to 98.58%.</w:t>
      </w:r>
    </w:p>
    <w:p>
      <w:pPr>
        <w:pStyle w:val="Heading1"/>
        <w:keepNext/>
        <w:spacing w:after="160" w:before="280"/>
        <w:jc w:val="center"/>
      </w:pPr>
      <w:r>
        <w:rPr>
          <w:rFonts w:ascii="Times New Roman" w:cs="Times New Roman" w:eastAsia="Times New Roman" w:hAnsi="Times New Roman"/>
          <w:b/>
          <w:bCs/>
          <w:sz w:val="24"/>
          <w:szCs w:val="24"/>
        </w:rPr>
        <w:t xml:space="preserve">VI. DISCUSSION</w:t>
      </w:r>
    </w:p>
    <w:p>
      <w:pPr>
        <w:pStyle w:val="Heading2"/>
        <w:keepNext/>
        <w:spacing w:after="100" w:before="180"/>
      </w:pPr>
      <w:r>
        <w:rPr>
          <w:rFonts w:ascii="Times New Roman" w:cs="Times New Roman" w:eastAsia="Times New Roman" w:hAnsi="Times New Roman"/>
          <w:b/>
          <w:bCs/>
          <w:i/>
          <w:iCs/>
          <w:sz w:val="22"/>
          <w:szCs w:val="22"/>
        </w:rPr>
        <w:t xml:space="preserve">A. Interpretation of the Main Results</w:t>
      </w:r>
    </w:p>
    <w:p>
      <w:pPr>
        <w:spacing w:after="120" w:line="288"/>
        <w:ind w:firstLine="360"/>
        <w:jc w:val="both"/>
      </w:pPr>
      <w:r>
        <w:rPr>
          <w:rFonts w:ascii="Times New Roman" w:cs="Times New Roman" w:eastAsia="Times New Roman" w:hAnsi="Times New Roman"/>
        </w:rPr>
        <w:t xml:space="preserve">Three observations stand out. First, a BadNets backdoor is cheap and quiet: 500 poisoned images out of 50,000 give 57.86% ASR with no measurable change in clean accuracy, so accuracy monitoring cannot reveal the attack. Second, the quality of data-level detection depends on the poisoning rate far more than on the choice of detector; every method that worked at 10% failed at 1%. Third, recovery by fine-pruning works partially, and the one experiment that tried to couple detection with recovery made things worse. A defender who deploys the layers as independent safeguards gets a measurable gain from recovery and information from detection, but should not expect their effects to add up.</w:t>
      </w:r>
    </w:p>
    <w:p>
      <w:pPr>
        <w:pStyle w:val="Heading2"/>
        <w:keepNext/>
        <w:spacing w:after="100" w:before="180"/>
      </w:pPr>
      <w:r>
        <w:rPr>
          <w:rFonts w:ascii="Times New Roman" w:cs="Times New Roman" w:eastAsia="Times New Roman" w:hAnsi="Times New Roman"/>
          <w:b/>
          <w:bCs/>
          <w:i/>
          <w:iCs/>
          <w:sz w:val="22"/>
          <w:szCs w:val="22"/>
        </w:rPr>
        <w:t xml:space="preserve">B. Why Detection Did Not Translate into Recovery</w:t>
      </w:r>
    </w:p>
    <w:p>
      <w:pPr>
        <w:spacing w:after="120" w:line="288"/>
        <w:ind w:firstLine="360"/>
        <w:jc w:val="both"/>
      </w:pPr>
      <w:r>
        <w:rPr>
          <w:rFonts w:ascii="Times New Roman" w:cs="Times New Roman" w:eastAsia="Times New Roman" w:hAnsi="Times New Roman"/>
        </w:rPr>
        <w:t xml:space="preserve">Removing poison helps only if almost all of it is removed. With Isolation Forest at roughly 47% TPR, thousands of poisoned samples stayed in the training set, and the experiments in Table V show that even 500 samples suffice for a majority-success backdoor. Filtering also removes clean samples (265 in the 5,000-sample test, 2,700 in the full-set run), which slightly lowers CA (76.21%, against 78.40%). The sequential pipeline shows that the failure is not merely one of omission: ASR after pruning rose to 98.58%, above the 94.17% baseline. Plausible reasons are that retraining on partially filtered data strengthened rather than weakened the trigger pathway and that fine-tuning after pruning re-learned it from the remaining poison. These explanations are consistent with the data but untested; isolating them would need controlled runs that vary the number of surviving poisoned samples.</w:t>
      </w:r>
    </w:p>
    <w:p>
      <w:pPr>
        <w:pStyle w:val="Heading2"/>
        <w:keepNext/>
        <w:spacing w:after="100" w:before="180"/>
      </w:pPr>
      <w:r>
        <w:rPr>
          <w:rFonts w:ascii="Times New Roman" w:cs="Times New Roman" w:eastAsia="Times New Roman" w:hAnsi="Times New Roman"/>
          <w:b/>
          <w:bCs/>
          <w:i/>
          <w:iCs/>
          <w:sz w:val="22"/>
          <w:szCs w:val="22"/>
        </w:rPr>
        <w:t xml:space="preserve">C. Trade-offs of Fine-Pruning</w:t>
      </w:r>
    </w:p>
    <w:p>
      <w:pPr>
        <w:spacing w:after="120" w:line="288"/>
        <w:ind w:firstLine="360"/>
        <w:jc w:val="both"/>
      </w:pPr>
      <w:r>
        <w:rPr>
          <w:rFonts w:ascii="Times New Roman" w:cs="Times New Roman" w:eastAsia="Times New Roman" w:hAnsi="Times New Roman"/>
        </w:rPr>
        <w:t xml:space="preserve">Fine-pruning offers a transparent trade-off between ASR and CA: each additional 10 points of pruning removed roughly 12 to 16 pp of ASR and cost about 0.8 to 0.9 pp of CA over the tested range. It is cheap to apply but not free to retrain (up to about 11.5 minutes on CPU), and because filters were masked rather than removed, it brings no inference speed or memory benefit. Even the best configuration leaves an ASR above 40%, which is unacceptable for a security-critical detector. Fine-pruning is best seen as a partial mitigation to be combined with stronger methods such as distillation-based unlearning [28] or anti-backdoor training [29], not as a complete remedy.</w:t>
      </w:r>
    </w:p>
    <w:p>
      <w:pPr>
        <w:pStyle w:val="Heading2"/>
        <w:keepNext/>
        <w:spacing w:after="100" w:before="180"/>
      </w:pPr>
      <w:r>
        <w:rPr>
          <w:rFonts w:ascii="Times New Roman" w:cs="Times New Roman" w:eastAsia="Times New Roman" w:hAnsi="Times New Roman"/>
          <w:b/>
          <w:bCs/>
          <w:i/>
          <w:iCs/>
          <w:sz w:val="22"/>
          <w:szCs w:val="22"/>
        </w:rPr>
        <w:t xml:space="preserve">D. False Positives, False Negatives and Cost</w:t>
      </w:r>
    </w:p>
    <w:p>
      <w:pPr>
        <w:spacing w:after="120" w:line="288"/>
        <w:ind w:firstLine="360"/>
        <w:jc w:val="both"/>
      </w:pPr>
      <w:r>
        <w:rPr>
          <w:rFonts w:ascii="Times New Roman" w:cs="Times New Roman" w:eastAsia="Times New Roman" w:hAnsi="Times New Roman"/>
        </w:rPr>
        <w:t xml:space="preserve">The cost of errors differs by layer. A false negative at the data level lets poison into training and is the dominant failure at low poisoning rates. A false positive discards a clean sample, which is harmless for a large dataset but can bias class balance when it is systematic, as in Activation Clustering at 1% and 5% where about 30% of clean samples were flagged. In operation, STRIP's 23.40% FPR would flag nearly a quarter of legitimate inputs, a burden for a monitoring team. In terms of compute, detection on the full set took 152.51 s, while recovery cost 436 to 693 s for fine-pruning and 1,384 s for the sequential pipeline; all are acceptable for offline defence but too slow for per-request protection.</w:t>
      </w:r>
    </w:p>
    <w:p>
      <w:pPr>
        <w:pStyle w:val="Heading2"/>
        <w:keepNext/>
        <w:spacing w:after="100" w:before="180"/>
      </w:pPr>
      <w:r>
        <w:rPr>
          <w:rFonts w:ascii="Times New Roman" w:cs="Times New Roman" w:eastAsia="Times New Roman" w:hAnsi="Times New Roman"/>
          <w:b/>
          <w:bCs/>
          <w:i/>
          <w:iCs/>
          <w:sz w:val="22"/>
          <w:szCs w:val="22"/>
        </w:rPr>
        <w:t xml:space="preserve">E. Realistic Defender Assumptions</w:t>
      </w:r>
    </w:p>
    <w:p>
      <w:pPr>
        <w:spacing w:after="120" w:line="288"/>
        <w:jc w:val="both"/>
      </w:pPr>
      <w:r>
        <w:rPr>
          <w:rFonts w:ascii="Times New Roman" w:cs="Times New Roman" w:eastAsia="Times New Roman" w:hAnsi="Times New Roman"/>
        </w:rPr>
        <w:t xml:space="preserve">Several results rest on assumptions that a real defender may not meet:</w:t>
      </w:r>
    </w:p>
    <w:p>
      <w:pPr>
        <w:pStyle w:val="ListParagraph"/>
        <w:numPr>
          <w:ilvl w:val="0"/>
          <w:numId w:val="3"/>
        </w:numPr>
        <w:spacing w:after="60" w:line="276"/>
        <w:jc w:val="both"/>
      </w:pPr>
      <w:r>
        <w:rPr>
          <w:rFonts w:ascii="Times New Roman" w:cs="Times New Roman" w:eastAsia="Times New Roman" w:hAnsi="Times New Roman"/>
          <w:b/>
          <w:bCs/>
        </w:rPr>
        <w:t xml:space="preserve">Known poison count.</w:t>
      </w:r>
      <w:r>
        <w:rPr>
          <w:rFonts w:ascii="Times New Roman" w:cs="Times New Roman" w:eastAsia="Times New Roman" w:hAnsi="Times New Roman"/>
        </w:rPr>
        <w:t xml:space="preserve"> Spectral Signatures removes exactly as many samples as there are poisoned ones. Its 89.60% TPR at 10% is an upper bound; at 5% and 1% the same method gave 3.20% and 2.00%.</w:t>
      </w:r>
    </w:p>
    <w:p>
      <w:pPr>
        <w:pStyle w:val="ListParagraph"/>
        <w:numPr>
          <w:ilvl w:val="0"/>
          <w:numId w:val="3"/>
        </w:numPr>
        <w:spacing w:after="60" w:line="276"/>
        <w:jc w:val="both"/>
      </w:pPr>
      <w:r>
        <w:rPr>
          <w:rFonts w:ascii="Times New Roman" w:cs="Times New Roman" w:eastAsia="Times New Roman" w:hAnsi="Times New Roman"/>
          <w:b/>
          <w:bCs/>
        </w:rPr>
        <w:t xml:space="preserve">Cluster-size heuristic.</w:t>
      </w:r>
      <w:r>
        <w:rPr>
          <w:rFonts w:ascii="Times New Roman" w:cs="Times New Roman" w:eastAsia="Times New Roman" w:hAnsi="Times New Roman"/>
        </w:rPr>
        <w:t xml:space="preserve"> Activation Clustering assumes that the smaller cluster is poisoned. This held at 10% (0% FPR) but led to about 30% FPR when poison is rarer.</w:t>
      </w:r>
    </w:p>
    <w:p>
      <w:pPr>
        <w:pStyle w:val="ListParagraph"/>
        <w:numPr>
          <w:ilvl w:val="0"/>
          <w:numId w:val="3"/>
        </w:numPr>
        <w:spacing w:after="60" w:line="276"/>
        <w:jc w:val="both"/>
      </w:pPr>
      <w:r>
        <w:rPr>
          <w:rFonts w:ascii="Times New Roman" w:cs="Times New Roman" w:eastAsia="Times New Roman" w:hAnsi="Times New Roman"/>
          <w:b/>
          <w:bCs/>
        </w:rPr>
        <w:t xml:space="preserve">Labelled threshold.</w:t>
      </w:r>
      <w:r>
        <w:rPr>
          <w:rFonts w:ascii="Times New Roman" w:cs="Times New Roman" w:eastAsia="Times New Roman" w:hAnsi="Times New Roman"/>
        </w:rPr>
        <w:t xml:space="preserve"> STRIP's threshold was chosen with labelled data, which a defender would not have; the 71.90% accuracy is therefore optimistic for its operating point.</w:t>
      </w:r>
    </w:p>
    <w:p>
      <w:pPr>
        <w:pStyle w:val="ListParagraph"/>
        <w:numPr>
          <w:ilvl w:val="0"/>
          <w:numId w:val="3"/>
        </w:numPr>
        <w:spacing w:after="60" w:line="276"/>
        <w:jc w:val="both"/>
      </w:pPr>
      <w:r>
        <w:rPr>
          <w:rFonts w:ascii="Times New Roman" w:cs="Times New Roman" w:eastAsia="Times New Roman" w:hAnsi="Times New Roman"/>
          <w:b/>
          <w:bCs/>
        </w:rPr>
        <w:t xml:space="preserve">Trusted data and model access.</w:t>
      </w:r>
      <w:r>
        <w:rPr>
          <w:rFonts w:ascii="Times New Roman" w:cs="Times New Roman" w:eastAsia="Times New Roman" w:hAnsi="Times New Roman"/>
        </w:rPr>
        <w:t xml:space="preserve"> Fine-pruning, Neural Cleanse and ABS require model weights and a trusted clean subset, which are not available when a model is obtained as a black box from a third party.</w:t>
      </w:r>
    </w:p>
    <w:p>
      <w:pPr>
        <w:pStyle w:val="ListParagraph"/>
        <w:numPr>
          <w:ilvl w:val="0"/>
          <w:numId w:val="3"/>
        </w:numPr>
        <w:spacing w:after="60" w:line="276"/>
        <w:jc w:val="both"/>
      </w:pPr>
      <w:r>
        <w:rPr>
          <w:rFonts w:ascii="Times New Roman" w:cs="Times New Roman" w:eastAsia="Times New Roman" w:hAnsi="Times New Roman"/>
          <w:b/>
          <w:bCs/>
        </w:rPr>
        <w:t xml:space="preserve">Known contamination.</w:t>
      </w:r>
      <w:r>
        <w:rPr>
          <w:rFonts w:ascii="Times New Roman" w:cs="Times New Roman" w:eastAsia="Times New Roman" w:hAnsi="Times New Roman"/>
        </w:rPr>
        <w:t xml:space="preserve"> Isolation Forest's contamination parameter was set to the true poisoning fraction.</w:t>
      </w:r>
    </w:p>
    <w:p>
      <w:pPr>
        <w:pStyle w:val="Heading2"/>
        <w:keepNext/>
        <w:spacing w:after="100" w:before="180"/>
      </w:pPr>
      <w:r>
        <w:rPr>
          <w:rFonts w:ascii="Times New Roman" w:cs="Times New Roman" w:eastAsia="Times New Roman" w:hAnsi="Times New Roman"/>
          <w:b/>
          <w:bCs/>
          <w:i/>
          <w:iCs/>
          <w:sz w:val="22"/>
          <w:szCs w:val="22"/>
        </w:rPr>
        <w:t xml:space="preserve">F. Transferability to Deep Learning-Based Intrusion Detection</w:t>
      </w:r>
    </w:p>
    <w:p>
      <w:pPr>
        <w:spacing w:after="120" w:line="288"/>
        <w:ind w:firstLine="360"/>
        <w:jc w:val="both"/>
      </w:pPr>
      <w:r>
        <w:rPr>
          <w:rFonts w:ascii="Times New Roman" w:cs="Times New Roman" w:eastAsia="Times New Roman" w:hAnsi="Times New Roman"/>
        </w:rPr>
        <w:t xml:space="preserve">Intrusion detection is a primary application of such defences, whereas the experiments use images. The arguments for transfer are that a backdoored intrusion detector is also trained on possibly untrusted data, that its decision depends on learned representations, and that latent-space detectors operate on those representations regardless of input type. There are, however, important differences. A trigger in network traffic must be a feature pattern that survives feature extraction and remains valid as traffic (a fixed header value, packet-size signature or timing pattern), and attackers face protocol constraints that image attackers do not. Intrusion data are tabular, heavily imbalanced and subject to concept drift [4], so clean-sample statistics and class-conditional clusters behave differently, and a low poisoning rate relative to a rare attack class could be proportionally large. Datasets such as CICIDS2017 [2] and NSL-KDD [3] and detectors such as autoencoder ensembles [1] provide a natural next testbed. Until those experiments are run, the quantitative conclusions of this thesis should be considered valid for the image domain only.</w:t>
      </w:r>
    </w:p>
    <w:p>
      <w:pPr>
        <w:pStyle w:val="Heading2"/>
        <w:keepNext/>
        <w:spacing w:after="100" w:before="180"/>
      </w:pPr>
      <w:r>
        <w:rPr>
          <w:rFonts w:ascii="Times New Roman" w:cs="Times New Roman" w:eastAsia="Times New Roman" w:hAnsi="Times New Roman"/>
          <w:b/>
          <w:bCs/>
          <w:i/>
          <w:iCs/>
          <w:sz w:val="22"/>
          <w:szCs w:val="22"/>
        </w:rPr>
        <w:t xml:space="preserve">G. Limitations and Threats to Validity</w:t>
      </w:r>
    </w:p>
    <w:p>
      <w:pPr>
        <w:pStyle w:val="ListParagraph"/>
        <w:numPr>
          <w:ilvl w:val="0"/>
          <w:numId w:val="3"/>
        </w:numPr>
        <w:spacing w:after="60" w:line="276"/>
        <w:jc w:val="both"/>
      </w:pPr>
      <w:r>
        <w:rPr>
          <w:rFonts w:ascii="Times New Roman" w:cs="Times New Roman" w:eastAsia="Times New Roman" w:hAnsi="Times New Roman"/>
          <w:b/>
          <w:bCs/>
        </w:rPr>
        <w:t xml:space="preserve">Single seed and no confidence intervals.</w:t>
      </w:r>
      <w:r>
        <w:rPr>
          <w:rFonts w:ascii="Times New Roman" w:cs="Times New Roman" w:eastAsia="Times New Roman" w:hAnsi="Times New Roman"/>
        </w:rPr>
        <w:t xml:space="preserve"> All results use seed 42. Differences of a few percentage points, such as 3x3 versus 4x4 triggers (97.84% versus 97.96%) or top-left versus bottom-right, cannot be ranked.</w:t>
      </w:r>
    </w:p>
    <w:p>
      <w:pPr>
        <w:pStyle w:val="ListParagraph"/>
        <w:numPr>
          <w:ilvl w:val="0"/>
          <w:numId w:val="3"/>
        </w:numPr>
        <w:spacing w:after="60" w:line="276"/>
        <w:jc w:val="both"/>
      </w:pPr>
      <w:r>
        <w:rPr>
          <w:rFonts w:ascii="Times New Roman" w:cs="Times New Roman" w:eastAsia="Times New Roman" w:hAnsi="Times New Roman"/>
          <w:b/>
          <w:bCs/>
        </w:rPr>
        <w:t xml:space="preserve">Heterogeneous training schedules.</w:t>
      </w:r>
      <w:r>
        <w:rPr>
          <w:rFonts w:ascii="Times New Roman" w:cs="Times New Roman" w:eastAsia="Times New Roman" w:hAnsi="Times New Roman"/>
        </w:rPr>
        <w:t xml:space="preserve"> Experiments use 20 or 8 epochs and two learning rates (Table IV); the same nominal trigger yielded 94.17%, 89.93% and 97.84% ASR.</w:t>
      </w:r>
    </w:p>
    <w:p>
      <w:pPr>
        <w:pStyle w:val="ListParagraph"/>
        <w:numPr>
          <w:ilvl w:val="0"/>
          <w:numId w:val="3"/>
        </w:numPr>
        <w:spacing w:after="60" w:line="276"/>
        <w:jc w:val="both"/>
      </w:pPr>
      <w:r>
        <w:rPr>
          <w:rFonts w:ascii="Times New Roman" w:cs="Times New Roman" w:eastAsia="Times New Roman" w:hAnsi="Times New Roman"/>
          <w:b/>
          <w:bCs/>
        </w:rPr>
        <w:t xml:space="preserve">Small model and one dataset.</w:t>
      </w:r>
      <w:r>
        <w:rPr>
          <w:rFonts w:ascii="Times New Roman" w:cs="Times New Roman" w:eastAsia="Times New Roman" w:hAnsi="Times New Roman"/>
        </w:rPr>
        <w:t xml:space="preserve"> A three-layer CNN on CIFAR-10 may not reflect the behaviour of deeper networks.</w:t>
      </w:r>
    </w:p>
    <w:p>
      <w:pPr>
        <w:pStyle w:val="ListParagraph"/>
        <w:numPr>
          <w:ilvl w:val="0"/>
          <w:numId w:val="3"/>
        </w:numPr>
        <w:spacing w:after="60" w:line="276"/>
        <w:jc w:val="both"/>
      </w:pPr>
      <w:r>
        <w:rPr>
          <w:rFonts w:ascii="Times New Roman" w:cs="Times New Roman" w:eastAsia="Times New Roman" w:hAnsi="Times New Roman"/>
          <w:b/>
          <w:bCs/>
        </w:rPr>
        <w:t xml:space="preserve">One attack family.</w:t>
      </w:r>
      <w:r>
        <w:rPr>
          <w:rFonts w:ascii="Times New Roman" w:cs="Times New Roman" w:eastAsia="Times New Roman" w:hAnsi="Times New Roman"/>
        </w:rPr>
        <w:t xml:space="preserve"> Only BadNets was implemented. Clean-label, invisible, latent and multi-trigger attacks, and attacks on pre-trained models and collaborative learning, remain untested.</w:t>
      </w:r>
    </w:p>
    <w:p>
      <w:pPr>
        <w:pStyle w:val="ListParagraph"/>
        <w:numPr>
          <w:ilvl w:val="0"/>
          <w:numId w:val="3"/>
        </w:numPr>
        <w:spacing w:after="60" w:line="276"/>
        <w:jc w:val="both"/>
      </w:pPr>
      <w:r>
        <w:rPr>
          <w:rFonts w:ascii="Times New Roman" w:cs="Times New Roman" w:eastAsia="Times New Roman" w:hAnsi="Times New Roman"/>
          <w:b/>
          <w:bCs/>
        </w:rPr>
        <w:t xml:space="preserve">Simplified defences.</w:t>
      </w:r>
      <w:r>
        <w:rPr>
          <w:rFonts w:ascii="Times New Roman" w:cs="Times New Roman" w:eastAsia="Times New Roman" w:hAnsi="Times New Roman"/>
        </w:rPr>
        <w:t xml:space="preserve"> Neural Cleanse and ABS are reduced prototypes; Activation Clustering, Spectral Signatures and STRIP use the favourable assumptions of Section VI-E.</w:t>
      </w:r>
    </w:p>
    <w:p>
      <w:pPr>
        <w:pStyle w:val="ListParagraph"/>
        <w:numPr>
          <w:ilvl w:val="0"/>
          <w:numId w:val="3"/>
        </w:numPr>
        <w:spacing w:after="60" w:line="276"/>
        <w:jc w:val="both"/>
      </w:pPr>
      <w:r>
        <w:rPr>
          <w:rFonts w:ascii="Times New Roman" w:cs="Times New Roman" w:eastAsia="Times New Roman" w:hAnsi="Times New Roman"/>
          <w:b/>
          <w:bCs/>
        </w:rPr>
        <w:t xml:space="preserve">Detection evaluated on a 5,000-sample subset</w:t>
      </w:r>
      <w:r>
        <w:rPr>
          <w:rFonts w:ascii="Times New Roman" w:cs="Times New Roman" w:eastAsia="Times New Roman" w:hAnsi="Times New Roman"/>
        </w:rPr>
        <w:t xml:space="preserve"> of the training set, with different absolute poison counts at each rate (50, 250 and 500).</w:t>
      </w:r>
    </w:p>
    <w:p>
      <w:pPr>
        <w:pStyle w:val="ListParagraph"/>
        <w:numPr>
          <w:ilvl w:val="0"/>
          <w:numId w:val="3"/>
        </w:numPr>
        <w:spacing w:after="60" w:line="276"/>
        <w:jc w:val="both"/>
      </w:pPr>
      <w:r>
        <w:rPr>
          <w:rFonts w:ascii="Times New Roman" w:cs="Times New Roman" w:eastAsia="Times New Roman" w:hAnsi="Times New Roman"/>
          <w:b/>
          <w:bCs/>
        </w:rPr>
        <w:t xml:space="preserve">CPU timing.</w:t>
      </w:r>
      <w:r>
        <w:rPr>
          <w:rFonts w:ascii="Times New Roman" w:cs="Times New Roman" w:eastAsia="Times New Roman" w:hAnsi="Times New Roman"/>
        </w:rPr>
        <w:t xml:space="preserve"> Latency and memory were measured in single runs on CPU, so small differences are noise.</w:t>
      </w:r>
    </w:p>
    <w:p>
      <w:pPr>
        <w:pStyle w:val="ListParagraph"/>
        <w:numPr>
          <w:ilvl w:val="0"/>
          <w:numId w:val="3"/>
        </w:numPr>
        <w:spacing w:after="60" w:line="276"/>
        <w:jc w:val="both"/>
      </w:pPr>
      <w:r>
        <w:rPr>
          <w:rFonts w:ascii="Times New Roman" w:cs="Times New Roman" w:eastAsia="Times New Roman" w:hAnsi="Times New Roman"/>
          <w:b/>
          <w:bCs/>
        </w:rPr>
        <w:t xml:space="preserve">Attacker-access comparison</w:t>
      </w:r>
      <w:r>
        <w:rPr>
          <w:rFonts w:ascii="Times New Roman" w:cs="Times New Roman" w:eastAsia="Times New Roman" w:hAnsi="Times New Roman"/>
        </w:rPr>
        <w:t xml:space="preserve"> uses one trained model and is not an independent comparison.</w:t>
      </w:r>
    </w:p>
    <w:p>
      <w:pPr>
        <w:pStyle w:val="ListParagraph"/>
        <w:numPr>
          <w:ilvl w:val="0"/>
          <w:numId w:val="3"/>
        </w:numPr>
        <w:spacing w:after="60" w:line="276"/>
        <w:jc w:val="both"/>
      </w:pPr>
      <w:r>
        <w:rPr>
          <w:rFonts w:ascii="Times New Roman" w:cs="Times New Roman" w:eastAsia="Times New Roman" w:hAnsi="Times New Roman"/>
          <w:b/>
          <w:bCs/>
        </w:rPr>
        <w:t xml:space="preserve">Oracle assumptions in detection.</w:t>
      </w:r>
      <w:r>
        <w:rPr>
          <w:rFonts w:ascii="Times New Roman" w:cs="Times New Roman" w:eastAsia="Times New Roman" w:hAnsi="Times New Roman"/>
        </w:rPr>
        <w:t xml:space="preserve"> Spectral Signatures uses the known poison count, STRIP's threshold was selected with labelled data, and Isolation Forest's contamination equals the true poisoning fraction. Reported detection results are therefore optimistic (Section VI-E).</w:t>
      </w:r>
    </w:p>
    <w:p>
      <w:pPr>
        <w:pStyle w:val="ListParagraph"/>
        <w:numPr>
          <w:ilvl w:val="0"/>
          <w:numId w:val="3"/>
        </w:numPr>
        <w:spacing w:after="60" w:line="276"/>
        <w:jc w:val="both"/>
      </w:pPr>
      <w:r>
        <w:rPr>
          <w:rFonts w:ascii="Times New Roman" w:cs="Times New Roman" w:eastAsia="Times New Roman" w:hAnsi="Times New Roman"/>
          <w:b/>
          <w:bCs/>
        </w:rPr>
        <w:t xml:space="preserve">Unreconciled earlier results.</w:t>
      </w:r>
      <w:r>
        <w:rPr>
          <w:rFonts w:ascii="Times New Roman" w:cs="Times New Roman" w:eastAsia="Times New Roman" w:hAnsi="Times New Roman"/>
        </w:rPr>
        <w:t xml:space="preserve"> An early development log contains baseline, fine-pruning and clean-model values that differ from the standardised runs (Section IV-E, Appendix C). They were excluded, and their origin should be confirmed from the code and checkpoints.</w:t>
      </w:r>
    </w:p>
    <w:p>
      <w:pPr>
        <w:pStyle w:val="ListParagraph"/>
        <w:numPr>
          <w:ilvl w:val="0"/>
          <w:numId w:val="3"/>
        </w:numPr>
        <w:spacing w:after="60" w:line="276"/>
        <w:jc w:val="both"/>
      </w:pPr>
      <w:r>
        <w:rPr>
          <w:rFonts w:ascii="Times New Roman" w:cs="Times New Roman" w:eastAsia="Times New Roman" w:hAnsi="Times New Roman"/>
          <w:b/>
          <w:bCs/>
        </w:rPr>
        <w:t xml:space="preserve">Unevaluated layers.</w:t>
      </w:r>
      <w:r>
        <w:rPr>
          <w:rFonts w:ascii="Times New Roman" w:cs="Times New Roman" w:eastAsia="Times New Roman" w:hAnsi="Times New Roman"/>
        </w:rPr>
        <w:t xml:space="preserve"> Explainability, differential privacy, autoencoder-based detection and evasion-type adversarial robustness are part of the framework but were not evaluated, and the monitoring layer is a qualitative simulation.</w:t>
      </w:r>
    </w:p>
    <w:p>
      <w:pPr>
        <w:pStyle w:val="Heading2"/>
        <w:keepNext/>
        <w:spacing w:after="100" w:before="180"/>
      </w:pPr>
      <w:r>
        <w:rPr>
          <w:rFonts w:ascii="Times New Roman" w:cs="Times New Roman" w:eastAsia="Times New Roman" w:hAnsi="Times New Roman"/>
          <w:b/>
          <w:bCs/>
          <w:i/>
          <w:iCs/>
          <w:sz w:val="22"/>
          <w:szCs w:val="22"/>
        </w:rPr>
        <w:t xml:space="preserve">H. Negative and Unexpected Findings</w:t>
      </w:r>
    </w:p>
    <w:p>
      <w:pPr>
        <w:spacing w:after="120" w:line="288"/>
        <w:jc w:val="both"/>
      </w:pPr>
      <w:r>
        <w:rPr>
          <w:rFonts w:ascii="Times New Roman" w:cs="Times New Roman" w:eastAsia="Times New Roman" w:hAnsi="Times New Roman"/>
        </w:rPr>
        <w:t xml:space="preserve">Several results contradict what a layered defence is expected to deliver. They are reported here deliberately, because they are informative about where such frameworks fail.</w:t>
      </w:r>
    </w:p>
    <w:p>
      <w:pPr>
        <w:pStyle w:val="ListParagraph"/>
        <w:numPr>
          <w:ilvl w:val="0"/>
          <w:numId w:val="3"/>
        </w:numPr>
        <w:spacing w:after="60" w:line="276"/>
        <w:jc w:val="both"/>
      </w:pPr>
      <w:r>
        <w:rPr>
          <w:rFonts w:ascii="Times New Roman" w:cs="Times New Roman" w:eastAsia="Times New Roman" w:hAnsi="Times New Roman"/>
          <w:b/>
          <w:bCs/>
        </w:rPr>
        <w:t xml:space="preserve">Filtering did not remove the backdoor.</w:t>
      </w:r>
      <w:r>
        <w:rPr>
          <w:rFonts w:ascii="Times New Roman" w:cs="Times New Roman" w:eastAsia="Times New Roman" w:hAnsi="Times New Roman"/>
        </w:rPr>
        <w:t xml:space="preserve"> Removing 5,000 suspected samples from the full training set left ASR at 94.56%, because detector recall of about 46% left thousands of poisoned samples in place.</w:t>
      </w:r>
    </w:p>
    <w:p>
      <w:pPr>
        <w:pStyle w:val="ListParagraph"/>
        <w:numPr>
          <w:ilvl w:val="0"/>
          <w:numId w:val="3"/>
        </w:numPr>
        <w:spacing w:after="60" w:line="276"/>
        <w:jc w:val="both"/>
      </w:pPr>
      <w:r>
        <w:rPr>
          <w:rFonts w:ascii="Times New Roman" w:cs="Times New Roman" w:eastAsia="Times New Roman" w:hAnsi="Times New Roman"/>
          <w:b/>
          <w:bCs/>
        </w:rPr>
        <w:t xml:space="preserve">The sequential framework degraded the model.</w:t>
      </w:r>
      <w:r>
        <w:rPr>
          <w:rFonts w:ascii="Times New Roman" w:cs="Times New Roman" w:eastAsia="Times New Roman" w:hAnsi="Times New Roman"/>
        </w:rPr>
        <w:t xml:space="preserve"> Detect, filter, retrain and prune raised ASR from 94.17% to 98.58% and CA fell to 74.43%, at more than three times the cost of standalone pruning.</w:t>
      </w:r>
    </w:p>
    <w:p>
      <w:pPr>
        <w:pStyle w:val="ListParagraph"/>
        <w:numPr>
          <w:ilvl w:val="0"/>
          <w:numId w:val="3"/>
        </w:numPr>
        <w:spacing w:after="60" w:line="276"/>
        <w:jc w:val="both"/>
      </w:pPr>
      <w:r>
        <w:rPr>
          <w:rFonts w:ascii="Times New Roman" w:cs="Times New Roman" w:eastAsia="Times New Roman" w:hAnsi="Times New Roman"/>
          <w:b/>
          <w:bCs/>
        </w:rPr>
        <w:t xml:space="preserve">Layer combination added nothing in the ablation.</w:t>
      </w:r>
      <w:r>
        <w:rPr>
          <w:rFonts w:ascii="Times New Roman" w:cs="Times New Roman" w:eastAsia="Times New Roman" w:hAnsi="Times New Roman"/>
        </w:rPr>
        <w:t xml:space="preserve"> The Detection+Recovery and Full Framework rows equal Recovery only, because recovery does not use detection output.</w:t>
      </w:r>
    </w:p>
    <w:p>
      <w:pPr>
        <w:pStyle w:val="ListParagraph"/>
        <w:numPr>
          <w:ilvl w:val="0"/>
          <w:numId w:val="3"/>
        </w:numPr>
        <w:spacing w:after="60" w:line="276"/>
        <w:jc w:val="both"/>
      </w:pPr>
      <w:r>
        <w:rPr>
          <w:rFonts w:ascii="Times New Roman" w:cs="Times New Roman" w:eastAsia="Times New Roman" w:hAnsi="Times New Roman"/>
          <w:b/>
          <w:bCs/>
        </w:rPr>
        <w:t xml:space="preserve">Detectors failed at low poisoning rates.</w:t>
      </w:r>
      <w:r>
        <w:rPr>
          <w:rFonts w:ascii="Times New Roman" w:cs="Times New Roman" w:eastAsia="Times New Roman" w:hAnsi="Times New Roman"/>
        </w:rPr>
        <w:t xml:space="preserve"> Spectral Signatures and Isolation Forest reached 2.00% and 4.00% TPR at 1% poisoning, and Activation Clustering raised about 30% false positives.</w:t>
      </w:r>
    </w:p>
    <w:p>
      <w:pPr>
        <w:pStyle w:val="ListParagraph"/>
        <w:numPr>
          <w:ilvl w:val="0"/>
          <w:numId w:val="3"/>
        </w:numPr>
        <w:spacing w:after="60" w:line="276"/>
        <w:jc w:val="both"/>
      </w:pPr>
      <w:r>
        <w:rPr>
          <w:rFonts w:ascii="Times New Roman" w:cs="Times New Roman" w:eastAsia="Times New Roman" w:hAnsi="Times New Roman"/>
          <w:b/>
          <w:bCs/>
        </w:rPr>
        <w:t xml:space="preserve">Detection accuracy was misleading.</w:t>
      </w:r>
      <w:r>
        <w:rPr>
          <w:rFonts w:ascii="Times New Roman" w:cs="Times New Roman" w:eastAsia="Times New Roman" w:hAnsi="Times New Roman"/>
        </w:rPr>
        <w:t xml:space="preserve"> Accuracy above 98% at 1% poisoning reflects the 99% clean majority, not detection ability.</w:t>
      </w:r>
    </w:p>
    <w:p>
      <w:pPr>
        <w:pStyle w:val="ListParagraph"/>
        <w:numPr>
          <w:ilvl w:val="0"/>
          <w:numId w:val="3"/>
        </w:numPr>
        <w:spacing w:after="60" w:line="276"/>
        <w:jc w:val="both"/>
      </w:pPr>
      <w:r>
        <w:rPr>
          <w:rFonts w:ascii="Times New Roman" w:cs="Times New Roman" w:eastAsia="Times New Roman" w:hAnsi="Times New Roman"/>
          <w:b/>
          <w:bCs/>
        </w:rPr>
        <w:t xml:space="preserve">Pruning gave no efficiency gain.</w:t>
      </w:r>
      <w:r>
        <w:rPr>
          <w:rFonts w:ascii="Times New Roman" w:cs="Times New Roman" w:eastAsia="Times New Roman" w:hAnsi="Times New Roman"/>
        </w:rPr>
        <w:t xml:space="preserve"> Parameter count and memory were unchanged, and latency differences were noise.</w:t>
      </w:r>
    </w:p>
    <w:p>
      <w:pPr>
        <w:pStyle w:val="ListParagraph"/>
        <w:numPr>
          <w:ilvl w:val="0"/>
          <w:numId w:val="3"/>
        </w:numPr>
        <w:spacing w:after="60" w:line="276"/>
        <w:jc w:val="both"/>
      </w:pPr>
      <w:r>
        <w:rPr>
          <w:rFonts w:ascii="Times New Roman" w:cs="Times New Roman" w:eastAsia="Times New Roman" w:hAnsi="Times New Roman"/>
          <w:b/>
          <w:bCs/>
        </w:rPr>
        <w:t xml:space="preserve">The monitor was too permissive.</w:t>
      </w:r>
      <w:r>
        <w:rPr>
          <w:rFonts w:ascii="Times New Roman" w:cs="Times New Roman" w:eastAsia="Times New Roman" w:hAnsi="Times New Roman"/>
        </w:rPr>
        <w:t xml:space="preserve"> A model with 40.54% ASR was logged as NORMAL.</w:t>
      </w:r>
    </w:p>
    <w:p>
      <w:pPr>
        <w:pStyle w:val="ListParagraph"/>
        <w:numPr>
          <w:ilvl w:val="0"/>
          <w:numId w:val="3"/>
        </w:numPr>
        <w:spacing w:after="60" w:line="276"/>
        <w:jc w:val="both"/>
      </w:pPr>
      <w:r>
        <w:rPr>
          <w:rFonts w:ascii="Times New Roman" w:cs="Times New Roman" w:eastAsia="Times New Roman" w:hAnsi="Times New Roman"/>
          <w:b/>
          <w:bCs/>
        </w:rPr>
        <w:t xml:space="preserve">The access comparison was not independent.</w:t>
      </w:r>
      <w:r>
        <w:rPr>
          <w:rFonts w:ascii="Times New Roman" w:cs="Times New Roman" w:eastAsia="Times New Roman" w:hAnsi="Times New Roman"/>
        </w:rPr>
        <w:t xml:space="preserve"> Grey-box and white-box results are identical because one model was analysed twice.</w:t>
      </w:r>
    </w:p>
    <w:p>
      <w:pPr>
        <w:pStyle w:val="Heading1"/>
        <w:keepNext/>
        <w:spacing w:after="160" w:before="280"/>
        <w:jc w:val="center"/>
      </w:pPr>
      <w:r>
        <w:rPr>
          <w:rFonts w:ascii="Times New Roman" w:cs="Times New Roman" w:eastAsia="Times New Roman" w:hAnsi="Times New Roman"/>
          <w:b/>
          <w:bCs/>
          <w:sz w:val="24"/>
          <w:szCs w:val="24"/>
        </w:rPr>
        <w:t xml:space="preserve">VII. CONCLUSION AND FUTURE WORK</w:t>
      </w:r>
    </w:p>
    <w:p>
      <w:pPr>
        <w:spacing w:after="120" w:line="288"/>
        <w:ind w:firstLine="360"/>
        <w:jc w:val="both"/>
      </w:pPr>
      <w:r>
        <w:rPr>
          <w:rFonts w:ascii="Times New Roman" w:cs="Times New Roman" w:eastAsia="Times New Roman" w:hAnsi="Times New Roman"/>
        </w:rPr>
        <w:t xml:space="preserve">This thesis implemented a layered smart cyber defence prototype and evaluated it quantitatively against BadNets backdoors on CIFAR-10. The undefended model reached 78.40% CA and 94.17% ASR, and a backdoor with 57.86% ASR was already achievable with 1% poisoning. Spectral Signatures and Activation Clustering detected poison accurately at 10% (97.92% and 97.42% accuracy), but their TPR collapsed or their FPR rose sharply at 1% and 5%. Model-level prototypes identified the target class. Fine-pruning at 40% lowered ASR to 40.54% (RR 56.94%) for a 5.16 pp reduction in CA and 692.78 s of compute, without eliminating the backdoor or reducing inference cost. The most informative finding is negative: filtering followed by retraining and pruning raised ASR to 98.58%, so the composition of layers did not improve on the best single layer.</w:t>
      </w:r>
    </w:p>
    <w:p>
      <w:pPr>
        <w:spacing w:after="120" w:line="288"/>
        <w:ind w:firstLine="360"/>
        <w:jc w:val="both"/>
      </w:pPr>
      <w:r>
        <w:rPr>
          <w:rFonts w:ascii="Times New Roman" w:cs="Times New Roman" w:eastAsia="Times New Roman" w:hAnsi="Times New Roman"/>
        </w:rPr>
        <w:t xml:space="preserve">For practitioners, the results suggest not relying on any one data-level detector across poisoning rates, treating detection output as evidence rather than as a filter unless its recall is high, and measuring ASR directly with a held-out triggered set rather than inferring model health from clean accuracy. For the research programme, the main limitation is scope: one attack, one small model, one dataset and one seed.</w:t>
      </w:r>
    </w:p>
    <w:p>
      <w:pPr>
        <w:spacing w:after="120" w:line="288"/>
        <w:ind w:firstLine="360"/>
        <w:jc w:val="both"/>
      </w:pPr>
      <w:r>
        <w:rPr>
          <w:rFonts w:ascii="Times New Roman" w:cs="Times New Roman" w:eastAsia="Times New Roman" w:hAnsi="Times New Roman"/>
        </w:rPr>
        <w:t xml:space="preserve">Future work should (i) repeat the experiments over multiple seeds with confidence intervals and a unified training schedule; (ii) add ResNet-18 and VGG-16 models and the GTSRB and MNIST datasets; (iii) implement clean-label, invisible, latent and multi-trigger attacks and the Pre-trained Model and Collaborative Learning surfaces; (iv) replace the simplified defences with complete Neural Cleanse and ABS implementations, add Neural Attention Distillation or anti-backdoor learning, and remove the oracle assumptions on poison count, thresholds and contamination; (v) design an explainability layer using attribution methods such as Grad-CAM, SHAP or LIME to explain detector decisions; (vi) isolate why the sequential pipeline failed; (vii) use structural pruning to obtain real inference savings; and (viii) port the framework to intrusion detection data, namely CICIDS2017 and NSL-KDD, with feature-space triggers and autoencoder-based detectors.</w:t>
      </w:r>
    </w:p>
    <w:p>
      <w:pPr>
        <w:pStyle w:val="Heading1"/>
        <w:keepNext/>
        <w:spacing w:after="160" w:before="280"/>
        <w:jc w:val="center"/>
      </w:pPr>
      <w:r>
        <w:rPr>
          <w:rFonts w:ascii="Times New Roman" w:cs="Times New Roman" w:eastAsia="Times New Roman" w:hAnsi="Times New Roman"/>
          <w:b/>
          <w:bCs/>
          <w:sz w:val="24"/>
          <w:szCs w:val="24"/>
        </w:rPr>
        <w:t xml:space="preserve">APPENDIX A: DETECTION CONFUSION COUNTS</w:t>
      </w:r>
    </w:p>
    <w:p>
      <w:pPr>
        <w:spacing w:after="120" w:line="288"/>
        <w:ind w:firstLine="360"/>
        <w:jc w:val="both"/>
      </w:pPr>
      <w:r>
        <w:rPr>
          <w:rFonts w:ascii="Times New Roman" w:cs="Times New Roman" w:eastAsia="Times New Roman" w:hAnsi="Times New Roman"/>
        </w:rPr>
        <w:t xml:space="preserve">Table XVII lists the confusion counts behind the detection results of Section V-C. Each inspection set contains 5,000 samples.</w:t>
      </w:r>
    </w:p>
    <w:p>
      <w:pPr>
        <w:keepNext/>
        <w:spacing w:after="60" w:before="160"/>
        <w:jc w:val="center"/>
      </w:pPr>
      <w:r>
        <w:rPr>
          <w:rFonts w:ascii="Times New Roman" w:cs="Times New Roman" w:eastAsia="Times New Roman" w:hAnsi="Times New Roman"/>
          <w:sz w:val="17"/>
          <w:szCs w:val="17"/>
        </w:rPr>
        <w:t xml:space="preserve">TABLE XVII</w:t>
      </w:r>
      <w:r>
        <w:br/>
        <w:t xml:space="preserve"/>
      </w:r>
      <w:r>
        <w:rPr>
          <w:rFonts w:ascii="Times New Roman" w:cs="Times New Roman" w:eastAsia="Times New Roman" w:hAnsi="Times New Roman"/>
          <w:sz w:val="17"/>
          <w:szCs w:val="17"/>
        </w:rPr>
        <w:t xml:space="preserve">CONFUSION COUNTS FOR THE DATA-LEVEL DETECTORS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100"/>
        <w:gridCol w:w="1500"/>
        <w:gridCol w:w="1400"/>
        <w:gridCol w:w="1460"/>
      </w:tblGrid>
      <w:tr>
        <w:trPr>
          <w:cantSplit/>
          <w:tblHeader/>
        </w:trPr>
        <w:tc>
          <w:tcPr>
            <w:tcW w:type="dxa" w:w="9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Rate</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Method</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TP</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FP</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FN</w:t>
            </w:r>
          </w:p>
        </w:tc>
        <w:tc>
          <w:tcPr>
            <w:tcW w:type="dxa" w:w="14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center"/>
            </w:pPr>
            <w:r>
              <w:rPr>
                <w:rFonts w:ascii="Times New Roman" w:cs="Times New Roman" w:eastAsia="Times New Roman" w:hAnsi="Times New Roman"/>
                <w:b/>
                <w:bCs/>
                <w:sz w:val="17"/>
                <w:szCs w:val="17"/>
              </w:rPr>
              <w:t xml:space="preserve">TN</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Isolation Forest</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48</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48</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4902</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Activation Clustering</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19</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1530</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31</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3420</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Spectral Signatures</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49</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49</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4901</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Isolation Forest</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67</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183</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183</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4567</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Activation Clustering</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91</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1439</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159</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3311</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Spectral Signatures</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8</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242</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242</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4508</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10%</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Isolation Forest</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235</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265</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265</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4235</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10%</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Activation Clustering</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371</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0</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129</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4500</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10%</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Spectral Signatures</w:t>
            </w:r>
          </w:p>
        </w:tc>
        <w:tc>
          <w:tcPr>
            <w:tcW w:type="dxa" w:w="11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448</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52</w:t>
            </w:r>
          </w:p>
        </w:tc>
        <w:tc>
          <w:tcPr>
            <w:tcW w:type="dxa" w:w="1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52</w:t>
            </w:r>
          </w:p>
        </w:tc>
        <w:tc>
          <w:tcPr>
            <w:tcW w:type="dxa" w:w="1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center"/>
            </w:pPr>
            <w:r>
              <w:rPr>
                <w:rFonts w:ascii="Times New Roman" w:cs="Times New Roman" w:eastAsia="Times New Roman" w:hAnsi="Times New Roman"/>
                <w:b w:val="false"/>
                <w:bCs w:val="false"/>
                <w:sz w:val="17"/>
                <w:szCs w:val="17"/>
              </w:rPr>
              <w:t xml:space="preserve">4448</w:t>
            </w:r>
          </w:p>
        </w:tc>
      </w:tr>
    </w:tbl>
    <w:p>
      <w:pPr>
        <w:spacing w:after="160"/>
      </w:pPr>
    </w:p>
    <w:p>
      <w:pPr>
        <w:pStyle w:val="Heading1"/>
        <w:keepNext/>
        <w:spacing w:after="160" w:before="280"/>
        <w:jc w:val="center"/>
      </w:pPr>
      <w:r>
        <w:rPr>
          <w:rFonts w:ascii="Times New Roman" w:cs="Times New Roman" w:eastAsia="Times New Roman" w:hAnsi="Times New Roman"/>
          <w:b/>
          <w:bCs/>
          <w:sz w:val="24"/>
          <w:szCs w:val="24"/>
        </w:rPr>
        <w:t xml:space="preserve">APPENDIX B: REPRODUCIBILITY SETTINGS</w:t>
      </w:r>
    </w:p>
    <w:p>
      <w:pPr>
        <w:spacing w:after="120" w:line="288"/>
        <w:ind w:firstLine="360"/>
        <w:jc w:val="both"/>
      </w:pPr>
      <w:r>
        <w:rPr>
          <w:rFonts w:ascii="Times New Roman" w:cs="Times New Roman" w:eastAsia="Times New Roman" w:hAnsi="Times New Roman"/>
        </w:rPr>
        <w:t xml:space="preserve">Table XVIII collects the settings needed to reproduce the main results. Experiment-specific settings are in Table IV.</w:t>
      </w:r>
    </w:p>
    <w:p>
      <w:pPr>
        <w:keepNext/>
        <w:spacing w:after="60" w:before="160"/>
        <w:jc w:val="center"/>
      </w:pPr>
      <w:r>
        <w:rPr>
          <w:rFonts w:ascii="Times New Roman" w:cs="Times New Roman" w:eastAsia="Times New Roman" w:hAnsi="Times New Roman"/>
          <w:sz w:val="17"/>
          <w:szCs w:val="17"/>
        </w:rPr>
        <w:t xml:space="preserve">TABLE XVIII</w:t>
      </w:r>
      <w:r>
        <w:br/>
        <w:t xml:space="preserve"/>
      </w:r>
      <w:r>
        <w:rPr>
          <w:rFonts w:ascii="Times New Roman" w:cs="Times New Roman" w:eastAsia="Times New Roman" w:hAnsi="Times New Roman"/>
          <w:sz w:val="17"/>
          <w:szCs w:val="17"/>
        </w:rPr>
        <w:t xml:space="preserve">REPRODUCIBILITY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Item</w:t>
            </w:r>
          </w:p>
        </w:tc>
        <w:tc>
          <w:tcPr>
            <w:tcW w:type="dxa" w:w="65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Value</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Dataset</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CIFAR-10 (50,000 train, 10,000 test)</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SimpleCNN: 3 conv (32/64/128), 2 linear, 256-d features, 620,362 parameters</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Attack</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BadNets, 3x3 trigger (value 1.0), bottom-right, target class 0</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Poison rates</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 5%, 10% (10% = 5,000 samples)</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ASR population</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9,000 non-target-class test images</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Main training</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20 epochs, batch 64, learning rate 0.0005</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Seed</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42</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Baseline checkpoint</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models/backdoored</w:t>
            </w:r>
            <w:r>
              <w:rPr>
                <w:rFonts w:ascii="Times New Roman" w:cs="Times New Roman" w:eastAsia="Times New Roman" w:hAnsi="Times New Roman"/>
                <w:b w:val="false"/>
                <w:bCs w:val="false"/>
                <w:i/>
                <w:iCs/>
                <w:sz w:val="17"/>
                <w:szCs w:val="17"/>
              </w:rPr>
              <w:t xml:space="preserve">cnn</w:t>
            </w:r>
            <w:r>
              <w:rPr>
                <w:rFonts w:ascii="Times New Roman" w:cs="Times New Roman" w:eastAsia="Times New Roman" w:hAnsi="Times New Roman"/>
                <w:b w:val="false"/>
                <w:bCs w:val="false"/>
                <w:sz w:val="17"/>
                <w:szCs w:val="17"/>
              </w:rPr>
              <w:t xml:space="preserve">10percent_best.pth (SHA-256 prefix E2FE6AE3)</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Device</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CPU</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Hardware</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[CPU model, RAM, operating system: to be filled]</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Library versions</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[Python, PyTorch, scikit-learn versions: to be filled]</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Inference benchmark</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Batch 64, 50 timed batches</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Fine-pruning ratios</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20%, 30%, 40% configured (19.20%, 29.46%, 39.29% actual)</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Software</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Python, PyTorch, scikit-learn</w:t>
            </w:r>
          </w:p>
        </w:tc>
      </w:tr>
      <w:tr>
        <w:trPr>
          <w:cantSplit/>
        </w:trPr>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Code repository</w:t>
            </w:r>
          </w:p>
        </w:tc>
        <w:tc>
          <w:tcPr>
            <w:tcW w:type="dxa" w:w="6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https://github.com/AhamedFozle/smart-cyber-defense</w:t>
            </w:r>
          </w:p>
        </w:tc>
      </w:tr>
    </w:tbl>
    <w:p>
      <w:pPr>
        <w:spacing w:after="160"/>
      </w:pPr>
    </w:p>
    <w:p>
      <w:pPr>
        <w:pStyle w:val="Heading1"/>
        <w:keepNext/>
        <w:spacing w:after="160" w:before="280"/>
        <w:jc w:val="center"/>
      </w:pPr>
      <w:r>
        <w:rPr>
          <w:rFonts w:ascii="Times New Roman" w:cs="Times New Roman" w:eastAsia="Times New Roman" w:hAnsi="Times New Roman"/>
          <w:b/>
          <w:bCs/>
          <w:sz w:val="24"/>
          <w:szCs w:val="24"/>
        </w:rPr>
        <w:t xml:space="preserve">APPENDIX C: RECONCILIATION OF EARLIER LOGS</w:t>
      </w:r>
    </w:p>
    <w:p>
      <w:pPr>
        <w:spacing w:after="120" w:line="288"/>
        <w:ind w:firstLine="360"/>
        <w:jc w:val="both"/>
      </w:pPr>
      <w:r>
        <w:rPr>
          <w:rFonts w:ascii="Times New Roman" w:cs="Times New Roman" w:eastAsia="Times New Roman" w:hAnsi="Times New Roman"/>
        </w:rPr>
        <w:t xml:space="preserve">Table XIX compares the earlier development log (experiment</w:t>
      </w:r>
      <w:r>
        <w:rPr>
          <w:rFonts w:ascii="Times New Roman" w:cs="Times New Roman" w:eastAsia="Times New Roman" w:hAnsi="Times New Roman"/>
          <w:i/>
          <w:iCs/>
        </w:rPr>
        <w:t xml:space="preserve">summary.txt) with the final results (final</w:t>
      </w:r>
      <w:r>
        <w:rPr>
          <w:rFonts w:ascii="Times New Roman" w:cs="Times New Roman" w:eastAsia="Times New Roman" w:hAnsi="Times New Roman"/>
        </w:rPr>
        <w:t xml:space="preserve">results.txt, the fine</w:t>
      </w:r>
      <w:r>
        <w:rPr>
          <w:rFonts w:ascii="Times New Roman" w:cs="Times New Roman" w:eastAsia="Times New Roman" w:hAnsi="Times New Roman"/>
          <w:i/>
          <w:iCs/>
        </w:rPr>
        <w:t xml:space="preserve">pruning</w:t>
      </w:r>
      <w:r>
        <w:rPr>
          <w:rFonts w:ascii="Times New Roman" w:cs="Times New Roman" w:eastAsia="Times New Roman" w:hAnsi="Times New Roman"/>
        </w:rPr>
        <w:t xml:space="preserve">*percent.txt files and sequential</w:t>
      </w:r>
      <w:r>
        <w:rPr>
          <w:rFonts w:ascii="Times New Roman" w:cs="Times New Roman" w:eastAsia="Times New Roman" w:hAnsi="Times New Roman"/>
          <w:i/>
          <w:iCs/>
        </w:rPr>
        <w:t xml:space="preserve">framework</w:t>
      </w:r>
      <w:r>
        <w:rPr>
          <w:rFonts w:ascii="Times New Roman" w:cs="Times New Roman" w:eastAsia="Times New Roman" w:hAnsi="Times New Roman"/>
        </w:rPr>
        <w:t xml:space="preserve">results.txt). The last column states which values are primary, preliminary or unresolved (Section IV-E).</w:t>
      </w:r>
    </w:p>
    <w:p>
      <w:pPr>
        <w:keepNext/>
        <w:spacing w:after="60" w:before="160"/>
        <w:jc w:val="center"/>
      </w:pPr>
      <w:r>
        <w:rPr>
          <w:rFonts w:ascii="Times New Roman" w:cs="Times New Roman" w:eastAsia="Times New Roman" w:hAnsi="Times New Roman"/>
          <w:sz w:val="17"/>
          <w:szCs w:val="17"/>
        </w:rPr>
        <w:t xml:space="preserve">TABLE XIX</w:t>
      </w:r>
      <w:r>
        <w:br/>
        <w:t xml:space="preserve"/>
      </w:r>
      <w:r>
        <w:rPr>
          <w:rFonts w:ascii="Times New Roman" w:cs="Times New Roman" w:eastAsia="Times New Roman" w:hAnsi="Times New Roman"/>
          <w:sz w:val="17"/>
          <w:szCs w:val="17"/>
        </w:rPr>
        <w:t xml:space="preserve">RECONCILIATION OF THE EARLIER LOG WITH THE FINAL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700"/>
        <w:gridCol w:w="2460"/>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Quantity</w:t>
            </w:r>
          </w:p>
        </w:tc>
        <w:tc>
          <w:tcPr>
            <w:tcW w:type="dxa" w:w="23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experiment_summary.txt (earlier log)</w:t>
            </w:r>
          </w:p>
        </w:tc>
        <w:tc>
          <w:tcPr>
            <w:tcW w:type="dxa" w:w="2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final_results.txt and run files</w:t>
            </w:r>
          </w:p>
        </w:tc>
        <w:tc>
          <w:tcPr>
            <w:tcW w:type="dxa" w:w="24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Status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Undefended BadNets ASR</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95.77% (8,619/9,000)</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94.17% (8,475/9,000)</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94.17% primary; 95.77% unresolved, excluded</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Undefended BadNets CA</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78.40%</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78.40%</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Consistent</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Clean CNN accuracy</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11.79% (near chance)</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Not reported</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Unresolved, excluded</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Fine-pruning start ASR</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51.77%</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94.17%</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51.77% unverified, excluded</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Baseline checkpoint file</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backdoored</w:t>
            </w:r>
            <w:r>
              <w:rPr>
                <w:rFonts w:ascii="Times New Roman" w:cs="Times New Roman" w:eastAsia="Times New Roman" w:hAnsi="Times New Roman"/>
                <w:b w:val="false"/>
                <w:bCs w:val="false"/>
                <w:i/>
                <w:iCs/>
                <w:sz w:val="17"/>
                <w:szCs w:val="17"/>
              </w:rPr>
              <w:t xml:space="preserve">cnn</w:t>
            </w:r>
            <w:r>
              <w:rPr>
                <w:rFonts w:ascii="Times New Roman" w:cs="Times New Roman" w:eastAsia="Times New Roman" w:hAnsi="Times New Roman"/>
                <w:b w:val="false"/>
                <w:bCs w:val="false"/>
                <w:sz w:val="17"/>
                <w:szCs w:val="17"/>
              </w:rPr>
              <w:t xml:space="preserve">best.pth (SHA-256 9979D9E9...)</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backdoored</w:t>
            </w:r>
            <w:r>
              <w:rPr>
                <w:rFonts w:ascii="Times New Roman" w:cs="Times New Roman" w:eastAsia="Times New Roman" w:hAnsi="Times New Roman"/>
                <w:b w:val="false"/>
                <w:bCs w:val="false"/>
                <w:i/>
                <w:iCs/>
                <w:sz w:val="17"/>
                <w:szCs w:val="17"/>
              </w:rPr>
              <w:t xml:space="preserve">cnn</w:t>
            </w:r>
            <w:r>
              <w:rPr>
                <w:rFonts w:ascii="Times New Roman" w:cs="Times New Roman" w:eastAsia="Times New Roman" w:hAnsi="Times New Roman"/>
                <w:b w:val="false"/>
                <w:bCs w:val="false"/>
                <w:sz w:val="17"/>
                <w:szCs w:val="17"/>
              </w:rPr>
              <w:t xml:space="preserve">10percent_best.pth (SHA-256 E2FE6AE3...)</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Different files; effect not yet confirmed</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Pruning ratios</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10% (actual 9.38%)</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20, 30, 40% (fine</w:t>
            </w:r>
            <w:r>
              <w:rPr>
                <w:rFonts w:ascii="Times New Roman" w:cs="Times New Roman" w:eastAsia="Times New Roman" w:hAnsi="Times New Roman"/>
                <w:b w:val="false"/>
                <w:bCs w:val="false"/>
                <w:i/>
                <w:iCs/>
                <w:sz w:val="17"/>
                <w:szCs w:val="17"/>
              </w:rPr>
              <w:t xml:space="preserve">pruning</w:t>
            </w:r>
            <w:r>
              <w:rPr>
                <w:rFonts w:ascii="Times New Roman" w:cs="Times New Roman" w:eastAsia="Times New Roman" w:hAnsi="Times New Roman"/>
                <w:b w:val="false"/>
                <w:bCs w:val="false"/>
                <w:sz w:val="17"/>
                <w:szCs w:val="17"/>
              </w:rPr>
              <w:t xml:space="preserve">*percent.txt)</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40% primary; 10% preliminary</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Recovered CA after pruning</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78.58%</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74.97, 74.06, 73.24%</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Not comparable</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Recovered ASR after pruning</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2.51%</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69.10, 56.49, 40.54%</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Not comparable</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Filtered model, partial inspection</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CA 76.34%, ASR 96.89%</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Same values (sequential</w:t>
            </w:r>
            <w:r>
              <w:rPr>
                <w:rFonts w:ascii="Times New Roman" w:cs="Times New Roman" w:eastAsia="Times New Roman" w:hAnsi="Times New Roman"/>
                <w:b w:val="false"/>
                <w:bCs w:val="false"/>
                <w:i/>
                <w:iCs/>
                <w:sz w:val="17"/>
                <w:szCs w:val="17"/>
              </w:rPr>
              <w:t xml:space="preserve">framework</w:t>
            </w:r>
            <w:r>
              <w:rPr>
                <w:rFonts w:ascii="Times New Roman" w:cs="Times New Roman" w:eastAsia="Times New Roman" w:hAnsi="Times New Roman"/>
                <w:b w:val="false"/>
                <w:bCs w:val="false"/>
                <w:sz w:val="17"/>
                <w:szCs w:val="17"/>
              </w:rPr>
              <w:t xml:space="preserve">results.txt)</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Consistent, primary</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Full-set filtering, contamination sweep</w:t>
            </w:r>
          </w:p>
        </w:tc>
        <w:tc>
          <w:tcPr>
            <w:tcW w:type="dxa" w:w="2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ASR 94.56%, 152.51 s; sweep 0.05 to 0.20</w:t>
            </w:r>
          </w:p>
        </w:tc>
        <w:tc>
          <w:tcPr>
            <w:tcW w:type="dxa" w:w="2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Not repeated (0.10 row matches)</w:t>
            </w:r>
          </w:p>
        </w:tc>
        <w:tc>
          <w:tcPr>
            <w:tcW w:type="dxa" w:w="24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Retained as indicative</w:t>
            </w:r>
          </w:p>
        </w:tc>
      </w:tr>
    </w:tbl>
    <w:p>
      <w:pPr>
        <w:spacing w:after="160"/>
      </w:pPr>
    </w:p>
    <w:p>
      <w:pPr>
        <w:spacing w:after="120" w:line="288"/>
        <w:ind w:firstLine="360"/>
        <w:jc w:val="both"/>
      </w:pPr>
      <w:r>
        <w:rPr>
          <w:rFonts w:ascii="Times New Roman" w:cs="Times New Roman" w:eastAsia="Times New Roman" w:hAnsi="Times New Roman"/>
        </w:rPr>
        <w:t xml:space="preserve">Table XX reports the preliminary 10% fine-pruning run from the earlier log. It is provisional: its baseline ASR (51.77%) comes from a different checkpoint file and has not yet been re-evaluated under the same protocol as the standardised results, so it is not compared with Table VIII. The relative reduction below uses the same definition as Eq. (3), but its starting backdoor is weaker, so it cannot be ranked against the 20, 30 and 40% runs.</w:t>
      </w:r>
    </w:p>
    <w:p>
      <w:pPr>
        <w:keepNext/>
        <w:spacing w:after="60" w:before="160"/>
        <w:jc w:val="center"/>
      </w:pPr>
      <w:r>
        <w:rPr>
          <w:rFonts w:ascii="Times New Roman" w:cs="Times New Roman" w:eastAsia="Times New Roman" w:hAnsi="Times New Roman"/>
          <w:sz w:val="17"/>
          <w:szCs w:val="17"/>
        </w:rPr>
        <w:t xml:space="preserve">TABLE XX</w:t>
      </w:r>
      <w:r>
        <w:br/>
        <w:t xml:space="preserve"/>
      </w:r>
      <w:r>
        <w:rPr>
          <w:rFonts w:ascii="Times New Roman" w:cs="Times New Roman" w:eastAsia="Times New Roman" w:hAnsi="Times New Roman"/>
          <w:sz w:val="17"/>
          <w:szCs w:val="17"/>
        </w:rPr>
        <w:t xml:space="preserve">PRELIMINARY 10% FINE-PRUNING RUN (EXPERIMENT_SUMMARY.TXT, SECTION 12; UNVERIFIED)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Metric</w:t>
            </w:r>
          </w:p>
        </w:tc>
        <w:tc>
          <w:tcPr>
            <w:tcW w:type="dxa" w:w="28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Before recovery</w:t>
            </w:r>
          </w:p>
        </w:tc>
        <w:tc>
          <w:tcPr>
            <w:tcW w:type="dxa" w:w="35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jc w:val="left"/>
            </w:pPr>
            <w:r>
              <w:rPr>
                <w:rFonts w:ascii="Times New Roman" w:cs="Times New Roman" w:eastAsia="Times New Roman" w:hAnsi="Times New Roman"/>
                <w:b/>
                <w:bCs/>
                <w:sz w:val="17"/>
                <w:szCs w:val="17"/>
              </w:rPr>
              <w:t xml:space="preserve">After recovery</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Clean accuracy (%)</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78.40</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78.58 (+0.18 pp)</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ASR (%)</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51.77</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2.51 (−49.26 pp)</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Relative ASR reduction (%)</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95.15</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Filters pruned</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21 of 224 (9.38%, configured 10%)</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Activation collection / pruning / fine-tuning (s)</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100.41 / 0.05 / 1,476.15</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Status</w:t>
            </w:r>
          </w:p>
        </w:tc>
        <w:tc>
          <w:tcPr>
            <w:tcW w:type="dxa" w:w="28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Provisional, pending re-evaluation</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jc w:val="left"/>
            </w:pPr>
            <w:r>
              <w:rPr>
                <w:rFonts w:ascii="Times New Roman" w:cs="Times New Roman" w:eastAsia="Times New Roman" w:hAnsi="Times New Roman"/>
                <w:b w:val="false"/>
                <w:bCs w:val="false"/>
                <w:sz w:val="17"/>
                <w:szCs w:val="17"/>
              </w:rPr>
              <w:t xml:space="preserve">Not comparable with Table VIII</w:t>
            </w:r>
          </w:p>
        </w:tc>
      </w:tr>
    </w:tbl>
    <w:p>
      <w:pPr>
        <w:spacing w:after="160"/>
      </w:pPr>
    </w:p>
    <w:p>
      <w:pPr>
        <w:pStyle w:val="Heading1"/>
        <w:pageBreakBefore/>
        <w:spacing w:after="160"/>
        <w:jc w:val="center"/>
      </w:pPr>
      <w:r>
        <w:rPr>
          <w:rFonts w:ascii="Times New Roman" w:cs="Times New Roman" w:eastAsia="Times New Roman" w:hAnsi="Times New Roman"/>
          <w:b/>
          <w:bCs/>
          <w:sz w:val="24"/>
          <w:szCs w:val="24"/>
        </w:rPr>
        <w:t xml:space="preserve">REFERENCES</w:t>
      </w:r>
    </w:p>
    <w:p>
      <w:pPr>
        <w:tabs>
          <w:tab w:val="left" w:pos="480"/>
        </w:tabs>
        <w:spacing w:after="60" w:line="252"/>
        <w:ind w:left="480" w:hanging="480"/>
        <w:jc w:val="both"/>
      </w:pPr>
      <w:r>
        <w:rPr>
          <w:rFonts w:ascii="Times New Roman" w:cs="Times New Roman" w:eastAsia="Times New Roman" w:hAnsi="Times New Roman"/>
          <w:sz w:val="19"/>
          <w:szCs w:val="19"/>
        </w:rPr>
        <w:t xml:space="preserve">[1]	</w:t>
      </w:r>
      <w:r>
        <w:rPr>
          <w:rFonts w:ascii="Times New Roman" w:cs="Times New Roman" w:eastAsia="Times New Roman" w:hAnsi="Times New Roman"/>
          <w:sz w:val="19"/>
          <w:szCs w:val="19"/>
        </w:rPr>
        <w:t xml:space="preserve">Y. Mirsky, T. Doitshman, Y. Elovici, and A. Shabtai, "Kitsune: An ensemble of autoencoders for online network intrusion detection," in </w:t>
      </w:r>
      <w:r>
        <w:rPr>
          <w:rFonts w:ascii="Times New Roman" w:cs="Times New Roman" w:eastAsia="Times New Roman" w:hAnsi="Times New Roman"/>
          <w:i/>
          <w:iCs/>
          <w:sz w:val="19"/>
          <w:szCs w:val="19"/>
        </w:rPr>
        <w:t xml:space="preserve">Proc. Netw. Distrib. Syst. Secur. Symp. (NDSS)</w:t>
      </w:r>
      <w:r>
        <w:rPr>
          <w:rFonts w:ascii="Times New Roman" w:cs="Times New Roman" w:eastAsia="Times New Roman" w:hAnsi="Times New Roman"/>
          <w:sz w:val="19"/>
          <w:szCs w:val="19"/>
        </w:rPr>
        <w:t xml:space="preserve">, San Diego, CA, USA, 2018.</w:t>
      </w:r>
    </w:p>
    <w:p>
      <w:pPr>
        <w:tabs>
          <w:tab w:val="left" w:pos="480"/>
        </w:tabs>
        <w:spacing w:after="60" w:line="252"/>
        <w:ind w:left="480" w:hanging="480"/>
        <w:jc w:val="both"/>
      </w:pPr>
      <w:r>
        <w:rPr>
          <w:rFonts w:ascii="Times New Roman" w:cs="Times New Roman" w:eastAsia="Times New Roman" w:hAnsi="Times New Roman"/>
          <w:sz w:val="19"/>
          <w:szCs w:val="19"/>
        </w:rPr>
        <w:t xml:space="preserve">[2]	</w:t>
      </w:r>
      <w:r>
        <w:rPr>
          <w:rFonts w:ascii="Times New Roman" w:cs="Times New Roman" w:eastAsia="Times New Roman" w:hAnsi="Times New Roman"/>
          <w:sz w:val="19"/>
          <w:szCs w:val="19"/>
        </w:rPr>
        <w:t xml:space="preserve">I. Sharafaldin, A. H. Lashkari, and A. A. Ghorbani, "Toward generating a new intrusion detection dataset and intrusion traffic characterization," in </w:t>
      </w:r>
      <w:r>
        <w:rPr>
          <w:rFonts w:ascii="Times New Roman" w:cs="Times New Roman" w:eastAsia="Times New Roman" w:hAnsi="Times New Roman"/>
          <w:i/>
          <w:iCs/>
          <w:sz w:val="19"/>
          <w:szCs w:val="19"/>
        </w:rPr>
        <w:t xml:space="preserve">Proc. Int. Conf. Inf. Syst. Secur. Privacy (ICISSP)</w:t>
      </w:r>
      <w:r>
        <w:rPr>
          <w:rFonts w:ascii="Times New Roman" w:cs="Times New Roman" w:eastAsia="Times New Roman" w:hAnsi="Times New Roman"/>
          <w:sz w:val="19"/>
          <w:szCs w:val="19"/>
        </w:rPr>
        <w:t xml:space="preserve">, 2018, pp. 108–116.</w:t>
      </w:r>
    </w:p>
    <w:p>
      <w:pPr>
        <w:tabs>
          <w:tab w:val="left" w:pos="480"/>
        </w:tabs>
        <w:spacing w:after="60" w:line="252"/>
        <w:ind w:left="480" w:hanging="480"/>
        <w:jc w:val="both"/>
      </w:pPr>
      <w:r>
        <w:rPr>
          <w:rFonts w:ascii="Times New Roman" w:cs="Times New Roman" w:eastAsia="Times New Roman" w:hAnsi="Times New Roman"/>
          <w:sz w:val="19"/>
          <w:szCs w:val="19"/>
        </w:rPr>
        <w:t xml:space="preserve">[3]	</w:t>
      </w:r>
      <w:r>
        <w:rPr>
          <w:rFonts w:ascii="Times New Roman" w:cs="Times New Roman" w:eastAsia="Times New Roman" w:hAnsi="Times New Roman"/>
          <w:sz w:val="19"/>
          <w:szCs w:val="19"/>
        </w:rPr>
        <w:t xml:space="preserve">M. Tavallaee, E. Bagheri, W. Lu, and A. A. Ghorbani, "A detailed analysis of the KDD CUP 99 data set," in </w:t>
      </w:r>
      <w:r>
        <w:rPr>
          <w:rFonts w:ascii="Times New Roman" w:cs="Times New Roman" w:eastAsia="Times New Roman" w:hAnsi="Times New Roman"/>
          <w:i/>
          <w:iCs/>
          <w:sz w:val="19"/>
          <w:szCs w:val="19"/>
        </w:rPr>
        <w:t xml:space="preserve">Proc. IEEE Symp. Comput. Intell. Secur. Defense Appl. (CISDA)</w:t>
      </w:r>
      <w:r>
        <w:rPr>
          <w:rFonts w:ascii="Times New Roman" w:cs="Times New Roman" w:eastAsia="Times New Roman" w:hAnsi="Times New Roman"/>
          <w:sz w:val="19"/>
          <w:szCs w:val="19"/>
        </w:rPr>
        <w:t xml:space="preserve">, 2009, pp. 1–6.</w:t>
      </w:r>
    </w:p>
    <w:p>
      <w:pPr>
        <w:tabs>
          <w:tab w:val="left" w:pos="480"/>
        </w:tabs>
        <w:spacing w:after="60" w:line="252"/>
        <w:ind w:left="480" w:hanging="480"/>
        <w:jc w:val="both"/>
      </w:pPr>
      <w:r>
        <w:rPr>
          <w:rFonts w:ascii="Times New Roman" w:cs="Times New Roman" w:eastAsia="Times New Roman" w:hAnsi="Times New Roman"/>
          <w:sz w:val="19"/>
          <w:szCs w:val="19"/>
        </w:rPr>
        <w:t xml:space="preserve">[4]	</w:t>
      </w:r>
      <w:r>
        <w:rPr>
          <w:rFonts w:ascii="Times New Roman" w:cs="Times New Roman" w:eastAsia="Times New Roman" w:hAnsi="Times New Roman"/>
          <w:sz w:val="19"/>
          <w:szCs w:val="19"/>
        </w:rPr>
        <w:t xml:space="preserve">R. Sommer and V. Paxson, "Outside the closed world: On using machine learning for network intrusion detection," in </w:t>
      </w:r>
      <w:r>
        <w:rPr>
          <w:rFonts w:ascii="Times New Roman" w:cs="Times New Roman" w:eastAsia="Times New Roman" w:hAnsi="Times New Roman"/>
          <w:i/>
          <w:iCs/>
          <w:sz w:val="19"/>
          <w:szCs w:val="19"/>
        </w:rPr>
        <w:t xml:space="preserve">Proc. IEEE Symp. Secur. Privacy</w:t>
      </w:r>
      <w:r>
        <w:rPr>
          <w:rFonts w:ascii="Times New Roman" w:cs="Times New Roman" w:eastAsia="Times New Roman" w:hAnsi="Times New Roman"/>
          <w:sz w:val="19"/>
          <w:szCs w:val="19"/>
        </w:rPr>
        <w:t xml:space="preserve">, 2010, pp. 305–316.</w:t>
      </w:r>
    </w:p>
    <w:p>
      <w:pPr>
        <w:tabs>
          <w:tab w:val="left" w:pos="480"/>
        </w:tabs>
        <w:spacing w:after="60" w:line="252"/>
        <w:ind w:left="480" w:hanging="480"/>
        <w:jc w:val="both"/>
      </w:pPr>
      <w:r>
        <w:rPr>
          <w:rFonts w:ascii="Times New Roman" w:cs="Times New Roman" w:eastAsia="Times New Roman" w:hAnsi="Times New Roman"/>
          <w:sz w:val="19"/>
          <w:szCs w:val="19"/>
        </w:rPr>
        <w:t xml:space="preserve">[5]	</w:t>
      </w:r>
      <w:r>
        <w:rPr>
          <w:rFonts w:ascii="Times New Roman" w:cs="Times New Roman" w:eastAsia="Times New Roman" w:hAnsi="Times New Roman"/>
          <w:sz w:val="19"/>
          <w:szCs w:val="19"/>
        </w:rPr>
        <w:t xml:space="preserve">T. Gu, K. Liu, B. Dolan-Gavitt, and S. Garg, "BadNets: Evaluating backdooring attacks on deep neural networks," </w:t>
      </w:r>
      <w:r>
        <w:rPr>
          <w:rFonts w:ascii="Times New Roman" w:cs="Times New Roman" w:eastAsia="Times New Roman" w:hAnsi="Times New Roman"/>
          <w:i/>
          <w:iCs/>
          <w:sz w:val="19"/>
          <w:szCs w:val="19"/>
        </w:rPr>
        <w:t xml:space="preserve">IEEE Access</w:t>
      </w:r>
      <w:r>
        <w:rPr>
          <w:rFonts w:ascii="Times New Roman" w:cs="Times New Roman" w:eastAsia="Times New Roman" w:hAnsi="Times New Roman"/>
          <w:sz w:val="19"/>
          <w:szCs w:val="19"/>
        </w:rPr>
        <w:t xml:space="preserve">, vol. 7, pp. 47230–47244, 2019.</w:t>
      </w:r>
    </w:p>
    <w:p>
      <w:pPr>
        <w:tabs>
          <w:tab w:val="left" w:pos="480"/>
        </w:tabs>
        <w:spacing w:after="60" w:line="252"/>
        <w:ind w:left="480" w:hanging="480"/>
        <w:jc w:val="both"/>
      </w:pPr>
      <w:r>
        <w:rPr>
          <w:rFonts w:ascii="Times New Roman" w:cs="Times New Roman" w:eastAsia="Times New Roman" w:hAnsi="Times New Roman"/>
          <w:sz w:val="19"/>
          <w:szCs w:val="19"/>
        </w:rPr>
        <w:t xml:space="preserve">[6]	</w:t>
      </w:r>
      <w:r>
        <w:rPr>
          <w:rFonts w:ascii="Times New Roman" w:cs="Times New Roman" w:eastAsia="Times New Roman" w:hAnsi="Times New Roman"/>
          <w:sz w:val="19"/>
          <w:szCs w:val="19"/>
        </w:rPr>
        <w:t xml:space="preserve">X. Chen, C. Liu, B. Li, K. Lu, and D. Song, "Targeted backdoor attacks on deep learning systems using data poisoning," arXiv:1712.05526, 2017.</w:t>
      </w:r>
    </w:p>
    <w:p>
      <w:pPr>
        <w:tabs>
          <w:tab w:val="left" w:pos="480"/>
        </w:tabs>
        <w:spacing w:after="60" w:line="252"/>
        <w:ind w:left="480" w:hanging="480"/>
        <w:jc w:val="both"/>
      </w:pPr>
      <w:r>
        <w:rPr>
          <w:rFonts w:ascii="Times New Roman" w:cs="Times New Roman" w:eastAsia="Times New Roman" w:hAnsi="Times New Roman"/>
          <w:sz w:val="19"/>
          <w:szCs w:val="19"/>
        </w:rPr>
        <w:t xml:space="preserve">[7]	</w:t>
      </w:r>
      <w:r>
        <w:rPr>
          <w:rFonts w:ascii="Times New Roman" w:cs="Times New Roman" w:eastAsia="Times New Roman" w:hAnsi="Times New Roman"/>
          <w:sz w:val="19"/>
          <w:szCs w:val="19"/>
        </w:rPr>
        <w:t xml:space="preserve">Y. Liu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"Trojaning attack on neural networks," in </w:t>
      </w:r>
      <w:r>
        <w:rPr>
          <w:rFonts w:ascii="Times New Roman" w:cs="Times New Roman" w:eastAsia="Times New Roman" w:hAnsi="Times New Roman"/>
          <w:i/>
          <w:iCs/>
          <w:sz w:val="19"/>
          <w:szCs w:val="19"/>
        </w:rPr>
        <w:t xml:space="preserve">Proc. Netw. Distrib. Syst. Secur. Symp. (NDSS)</w:t>
      </w:r>
      <w:r>
        <w:rPr>
          <w:rFonts w:ascii="Times New Roman" w:cs="Times New Roman" w:eastAsia="Times New Roman" w:hAnsi="Times New Roman"/>
          <w:sz w:val="19"/>
          <w:szCs w:val="19"/>
        </w:rPr>
        <w:t xml:space="preserve">, 2018.</w:t>
      </w:r>
    </w:p>
    <w:p>
      <w:pPr>
        <w:tabs>
          <w:tab w:val="left" w:pos="480"/>
        </w:tabs>
        <w:spacing w:after="60" w:line="252"/>
        <w:ind w:left="480" w:hanging="480"/>
        <w:jc w:val="both"/>
      </w:pPr>
      <w:r>
        <w:rPr>
          <w:rFonts w:ascii="Times New Roman" w:cs="Times New Roman" w:eastAsia="Times New Roman" w:hAnsi="Times New Roman"/>
          <w:sz w:val="19"/>
          <w:szCs w:val="19"/>
        </w:rPr>
        <w:t xml:space="preserve">[8]	</w:t>
      </w:r>
      <w:r>
        <w:rPr>
          <w:rFonts w:ascii="Times New Roman" w:cs="Times New Roman" w:eastAsia="Times New Roman" w:hAnsi="Times New Roman"/>
          <w:sz w:val="19"/>
          <w:szCs w:val="19"/>
        </w:rPr>
        <w:t xml:space="preserve">Y. Li, B. Wu, Y. Jiang, Z. Li, and S.-T. Xia, "Backdoor learning: A survey," </w:t>
      </w:r>
      <w:r>
        <w:rPr>
          <w:rFonts w:ascii="Times New Roman" w:cs="Times New Roman" w:eastAsia="Times New Roman" w:hAnsi="Times New Roman"/>
          <w:i/>
          <w:iCs/>
          <w:sz w:val="19"/>
          <w:szCs w:val="19"/>
        </w:rPr>
        <w:t xml:space="preserve">IEEE Trans. Neural Netw. Learn. Syst.</w:t>
      </w:r>
      <w:r>
        <w:rPr>
          <w:rFonts w:ascii="Times New Roman" w:cs="Times New Roman" w:eastAsia="Times New Roman" w:hAnsi="Times New Roman"/>
          <w:sz w:val="19"/>
          <w:szCs w:val="19"/>
        </w:rPr>
        <w:t xml:space="preserve">, vol. 35, no. 1, pp. 5–22, Jan. 2024.</w:t>
      </w:r>
    </w:p>
    <w:p>
      <w:pPr>
        <w:tabs>
          <w:tab w:val="left" w:pos="480"/>
        </w:tabs>
        <w:spacing w:after="60" w:line="252"/>
        <w:ind w:left="480" w:hanging="480"/>
        <w:jc w:val="both"/>
      </w:pPr>
      <w:r>
        <w:rPr>
          <w:rFonts w:ascii="Times New Roman" w:cs="Times New Roman" w:eastAsia="Times New Roman" w:hAnsi="Times New Roman"/>
          <w:sz w:val="19"/>
          <w:szCs w:val="19"/>
        </w:rPr>
        <w:t xml:space="preserve">[9]	</w:t>
      </w:r>
      <w:r>
        <w:rPr>
          <w:rFonts w:ascii="Times New Roman" w:cs="Times New Roman" w:eastAsia="Times New Roman" w:hAnsi="Times New Roman"/>
          <w:sz w:val="19"/>
          <w:szCs w:val="19"/>
        </w:rPr>
        <w:t xml:space="preserve">M. Goldblum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"Dataset security for machine learning: Data poisoning, backdoor attacks, and defenses," </w:t>
      </w:r>
      <w:r>
        <w:rPr>
          <w:rFonts w:ascii="Times New Roman" w:cs="Times New Roman" w:eastAsia="Times New Roman" w:hAnsi="Times New Roman"/>
          <w:i/>
          <w:iCs/>
          <w:sz w:val="19"/>
          <w:szCs w:val="19"/>
        </w:rPr>
        <w:t xml:space="preserve">IEEE Trans. Pattern Anal. Mach. Intell.</w:t>
      </w:r>
      <w:r>
        <w:rPr>
          <w:rFonts w:ascii="Times New Roman" w:cs="Times New Roman" w:eastAsia="Times New Roman" w:hAnsi="Times New Roman"/>
          <w:sz w:val="19"/>
          <w:szCs w:val="19"/>
        </w:rPr>
        <w:t xml:space="preserve">, vol. 45, no. 2, pp. 1563–1580, Feb. 2023.</w:t>
      </w:r>
    </w:p>
    <w:p>
      <w:pPr>
        <w:tabs>
          <w:tab w:val="left" w:pos="480"/>
        </w:tabs>
        <w:spacing w:after="60" w:line="252"/>
        <w:ind w:left="480" w:hanging="480"/>
        <w:jc w:val="both"/>
      </w:pPr>
      <w:r>
        <w:rPr>
          <w:rFonts w:ascii="Times New Roman" w:cs="Times New Roman" w:eastAsia="Times New Roman" w:hAnsi="Times New Roman"/>
          <w:sz w:val="19"/>
          <w:szCs w:val="19"/>
        </w:rPr>
        <w:t xml:space="preserve">[10]	</w:t>
      </w:r>
      <w:r>
        <w:rPr>
          <w:rFonts w:ascii="Times New Roman" w:cs="Times New Roman" w:eastAsia="Times New Roman" w:hAnsi="Times New Roman"/>
          <w:sz w:val="19"/>
          <w:szCs w:val="19"/>
        </w:rPr>
        <w:t xml:space="preserve">B. Wang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"Neural Cleanse: Identifying and mitigating backdoor attacks in neural networks," in </w:t>
      </w:r>
      <w:r>
        <w:rPr>
          <w:rFonts w:ascii="Times New Roman" w:cs="Times New Roman" w:eastAsia="Times New Roman" w:hAnsi="Times New Roman"/>
          <w:i/>
          <w:iCs/>
          <w:sz w:val="19"/>
          <w:szCs w:val="19"/>
        </w:rPr>
        <w:t xml:space="preserve">Proc. IEEE Symp. Secur. Privacy</w:t>
      </w:r>
      <w:r>
        <w:rPr>
          <w:rFonts w:ascii="Times New Roman" w:cs="Times New Roman" w:eastAsia="Times New Roman" w:hAnsi="Times New Roman"/>
          <w:sz w:val="19"/>
          <w:szCs w:val="19"/>
        </w:rPr>
        <w:t xml:space="preserve">, 2019, pp. 707–723.</w:t>
      </w:r>
    </w:p>
    <w:p>
      <w:pPr>
        <w:tabs>
          <w:tab w:val="left" w:pos="480"/>
        </w:tabs>
        <w:spacing w:after="60" w:line="252"/>
        <w:ind w:left="480" w:hanging="480"/>
        <w:jc w:val="both"/>
      </w:pPr>
      <w:r>
        <w:rPr>
          <w:rFonts w:ascii="Times New Roman" w:cs="Times New Roman" w:eastAsia="Times New Roman" w:hAnsi="Times New Roman"/>
          <w:sz w:val="19"/>
          <w:szCs w:val="19"/>
        </w:rPr>
        <w:t xml:space="preserve">[11]	</w:t>
      </w:r>
      <w:r>
        <w:rPr>
          <w:rFonts w:ascii="Times New Roman" w:cs="Times New Roman" w:eastAsia="Times New Roman" w:hAnsi="Times New Roman"/>
          <w:sz w:val="19"/>
          <w:szCs w:val="19"/>
        </w:rPr>
        <w:t xml:space="preserve">Y. Gao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"STRIP: A defence against trojan attacks on deep neural networks," in </w:t>
      </w:r>
      <w:r>
        <w:rPr>
          <w:rFonts w:ascii="Times New Roman" w:cs="Times New Roman" w:eastAsia="Times New Roman" w:hAnsi="Times New Roman"/>
          <w:i/>
          <w:iCs/>
          <w:sz w:val="19"/>
          <w:szCs w:val="19"/>
        </w:rPr>
        <w:t xml:space="preserve">Proc. Annu. Comput. Secur. Appl. Conf. (ACSAC)</w:t>
      </w:r>
      <w:r>
        <w:rPr>
          <w:rFonts w:ascii="Times New Roman" w:cs="Times New Roman" w:eastAsia="Times New Roman" w:hAnsi="Times New Roman"/>
          <w:sz w:val="19"/>
          <w:szCs w:val="19"/>
        </w:rPr>
        <w:t xml:space="preserve">, 2019, pp. 113–125.</w:t>
      </w:r>
    </w:p>
    <w:p>
      <w:pPr>
        <w:tabs>
          <w:tab w:val="left" w:pos="480"/>
        </w:tabs>
        <w:spacing w:after="60" w:line="252"/>
        <w:ind w:left="480" w:hanging="480"/>
        <w:jc w:val="both"/>
      </w:pPr>
      <w:r>
        <w:rPr>
          <w:rFonts w:ascii="Times New Roman" w:cs="Times New Roman" w:eastAsia="Times New Roman" w:hAnsi="Times New Roman"/>
          <w:sz w:val="19"/>
          <w:szCs w:val="19"/>
        </w:rPr>
        <w:t xml:space="preserve">[12]	</w:t>
      </w:r>
      <w:r>
        <w:rPr>
          <w:rFonts w:ascii="Times New Roman" w:cs="Times New Roman" w:eastAsia="Times New Roman" w:hAnsi="Times New Roman"/>
          <w:sz w:val="19"/>
          <w:szCs w:val="19"/>
        </w:rPr>
        <w:t xml:space="preserve">B. Chen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"Detecting backdoor attacks on deep neural networks by activation clustering," in </w:t>
      </w:r>
      <w:r>
        <w:rPr>
          <w:rFonts w:ascii="Times New Roman" w:cs="Times New Roman" w:eastAsia="Times New Roman" w:hAnsi="Times New Roman"/>
          <w:i/>
          <w:iCs/>
          <w:sz w:val="19"/>
          <w:szCs w:val="19"/>
        </w:rPr>
        <w:t xml:space="preserve">Proc. AAAI Workshop Artif. Intell. Saf. (SafeAI)</w:t>
      </w:r>
      <w:r>
        <w:rPr>
          <w:rFonts w:ascii="Times New Roman" w:cs="Times New Roman" w:eastAsia="Times New Roman" w:hAnsi="Times New Roman"/>
          <w:sz w:val="19"/>
          <w:szCs w:val="19"/>
        </w:rPr>
        <w:t xml:space="preserve">, 2019.</w:t>
      </w:r>
    </w:p>
    <w:p>
      <w:pPr>
        <w:tabs>
          <w:tab w:val="left" w:pos="480"/>
        </w:tabs>
        <w:spacing w:after="60" w:line="252"/>
        <w:ind w:left="480" w:hanging="480"/>
        <w:jc w:val="both"/>
      </w:pPr>
      <w:r>
        <w:rPr>
          <w:rFonts w:ascii="Times New Roman" w:cs="Times New Roman" w:eastAsia="Times New Roman" w:hAnsi="Times New Roman"/>
          <w:sz w:val="19"/>
          <w:szCs w:val="19"/>
        </w:rPr>
        <w:t xml:space="preserve">[13]	</w:t>
      </w:r>
      <w:r>
        <w:rPr>
          <w:rFonts w:ascii="Times New Roman" w:cs="Times New Roman" w:eastAsia="Times New Roman" w:hAnsi="Times New Roman"/>
          <w:sz w:val="19"/>
          <w:szCs w:val="19"/>
        </w:rPr>
        <w:t xml:space="preserve">B. Tran, J. Li, and A. Madry, "Spectral signatures in backdoor attacks," in </w:t>
      </w:r>
      <w:r>
        <w:rPr>
          <w:rFonts w:ascii="Times New Roman" w:cs="Times New Roman" w:eastAsia="Times New Roman" w:hAnsi="Times New Roman"/>
          <w:i/>
          <w:iCs/>
          <w:sz w:val="19"/>
          <w:szCs w:val="19"/>
        </w:rPr>
        <w:t xml:space="preserve">Adv. Neural Inf. Process. Syst. (NeurIPS)</w:t>
      </w:r>
      <w:r>
        <w:rPr>
          <w:rFonts w:ascii="Times New Roman" w:cs="Times New Roman" w:eastAsia="Times New Roman" w:hAnsi="Times New Roman"/>
          <w:sz w:val="19"/>
          <w:szCs w:val="19"/>
        </w:rPr>
        <w:t xml:space="preserve">, vol. 31, 2018.</w:t>
      </w:r>
    </w:p>
    <w:p>
      <w:pPr>
        <w:tabs>
          <w:tab w:val="left" w:pos="480"/>
        </w:tabs>
        <w:spacing w:after="60" w:line="252"/>
        <w:ind w:left="480" w:hanging="480"/>
        <w:jc w:val="both"/>
      </w:pPr>
      <w:r>
        <w:rPr>
          <w:rFonts w:ascii="Times New Roman" w:cs="Times New Roman" w:eastAsia="Times New Roman" w:hAnsi="Times New Roman"/>
          <w:sz w:val="19"/>
          <w:szCs w:val="19"/>
        </w:rPr>
        <w:t xml:space="preserve">[14]	</w:t>
      </w:r>
      <w:r>
        <w:rPr>
          <w:rFonts w:ascii="Times New Roman" w:cs="Times New Roman" w:eastAsia="Times New Roman" w:hAnsi="Times New Roman"/>
          <w:sz w:val="19"/>
          <w:szCs w:val="19"/>
        </w:rPr>
        <w:t xml:space="preserve">K. Liu, B. Dolan-Gavitt, and S. Garg, "Fine-pruning: Defending against backdooring attacks on deep neural networks," in </w:t>
      </w:r>
      <w:r>
        <w:rPr>
          <w:rFonts w:ascii="Times New Roman" w:cs="Times New Roman" w:eastAsia="Times New Roman" w:hAnsi="Times New Roman"/>
          <w:i/>
          <w:iCs/>
          <w:sz w:val="19"/>
          <w:szCs w:val="19"/>
        </w:rPr>
        <w:t xml:space="preserve">Proc. Int. Symp. Res. Attacks, Intrusions, Defenses (RAID)</w:t>
      </w:r>
      <w:r>
        <w:rPr>
          <w:rFonts w:ascii="Times New Roman" w:cs="Times New Roman" w:eastAsia="Times New Roman" w:hAnsi="Times New Roman"/>
          <w:sz w:val="19"/>
          <w:szCs w:val="19"/>
        </w:rPr>
        <w:t xml:space="preserve">, 2018, pp. 273–294.</w:t>
      </w:r>
    </w:p>
    <w:p>
      <w:pPr>
        <w:tabs>
          <w:tab w:val="left" w:pos="480"/>
        </w:tabs>
        <w:spacing w:after="60" w:line="252"/>
        <w:ind w:left="480" w:hanging="480"/>
        <w:jc w:val="both"/>
      </w:pPr>
      <w:r>
        <w:rPr>
          <w:rFonts w:ascii="Times New Roman" w:cs="Times New Roman" w:eastAsia="Times New Roman" w:hAnsi="Times New Roman"/>
          <w:sz w:val="19"/>
          <w:szCs w:val="19"/>
        </w:rPr>
        <w:t xml:space="preserve">[15]	</w:t>
      </w:r>
      <w:r>
        <w:rPr>
          <w:rFonts w:ascii="Times New Roman" w:cs="Times New Roman" w:eastAsia="Times New Roman" w:hAnsi="Times New Roman"/>
          <w:sz w:val="19"/>
          <w:szCs w:val="19"/>
        </w:rPr>
        <w:t xml:space="preserve">Y. Liu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"ABS: Scanning neural networks for back-doors by artificial brain stimulation," in </w:t>
      </w:r>
      <w:r>
        <w:rPr>
          <w:rFonts w:ascii="Times New Roman" w:cs="Times New Roman" w:eastAsia="Times New Roman" w:hAnsi="Times New Roman"/>
          <w:i/>
          <w:iCs/>
          <w:sz w:val="19"/>
          <w:szCs w:val="19"/>
        </w:rPr>
        <w:t xml:space="preserve">Proc. ACM SIGSAC Conf. Comput. Commun. Secur. (CCS)</w:t>
      </w:r>
      <w:r>
        <w:rPr>
          <w:rFonts w:ascii="Times New Roman" w:cs="Times New Roman" w:eastAsia="Times New Roman" w:hAnsi="Times New Roman"/>
          <w:sz w:val="19"/>
          <w:szCs w:val="19"/>
        </w:rPr>
        <w:t xml:space="preserve">, 2019, pp. 1265–1282.</w:t>
      </w:r>
    </w:p>
    <w:p>
      <w:pPr>
        <w:tabs>
          <w:tab w:val="left" w:pos="480"/>
        </w:tabs>
        <w:spacing w:after="60" w:line="252"/>
        <w:ind w:left="480" w:hanging="480"/>
        <w:jc w:val="both"/>
      </w:pPr>
      <w:r>
        <w:rPr>
          <w:rFonts w:ascii="Times New Roman" w:cs="Times New Roman" w:eastAsia="Times New Roman" w:hAnsi="Times New Roman"/>
          <w:sz w:val="19"/>
          <w:szCs w:val="19"/>
        </w:rPr>
        <w:t xml:space="preserve">[16]	</w:t>
      </w:r>
      <w:r>
        <w:rPr>
          <w:rFonts w:ascii="Times New Roman" w:cs="Times New Roman" w:eastAsia="Times New Roman" w:hAnsi="Times New Roman"/>
          <w:sz w:val="19"/>
          <w:szCs w:val="19"/>
        </w:rPr>
        <w:t xml:space="preserve">F. T. Liu, K. M. Ting, and Z.-H. Zhou, "Isolation forest," in </w:t>
      </w:r>
      <w:r>
        <w:rPr>
          <w:rFonts w:ascii="Times New Roman" w:cs="Times New Roman" w:eastAsia="Times New Roman" w:hAnsi="Times New Roman"/>
          <w:i/>
          <w:iCs/>
          <w:sz w:val="19"/>
          <w:szCs w:val="19"/>
        </w:rPr>
        <w:t xml:space="preserve">Proc. IEEE Int. Conf. Data Mining (ICDM)</w:t>
      </w:r>
      <w:r>
        <w:rPr>
          <w:rFonts w:ascii="Times New Roman" w:cs="Times New Roman" w:eastAsia="Times New Roman" w:hAnsi="Times New Roman"/>
          <w:sz w:val="19"/>
          <w:szCs w:val="19"/>
        </w:rPr>
        <w:t xml:space="preserve">, 2008, pp. 413–422.</w:t>
      </w:r>
    </w:p>
    <w:p>
      <w:pPr>
        <w:tabs>
          <w:tab w:val="left" w:pos="480"/>
        </w:tabs>
        <w:spacing w:after="60" w:line="252"/>
        <w:ind w:left="480" w:hanging="480"/>
        <w:jc w:val="both"/>
      </w:pPr>
      <w:r>
        <w:rPr>
          <w:rFonts w:ascii="Times New Roman" w:cs="Times New Roman" w:eastAsia="Times New Roman" w:hAnsi="Times New Roman"/>
          <w:sz w:val="19"/>
          <w:szCs w:val="19"/>
        </w:rPr>
        <w:t xml:space="preserve">[17]	</w:t>
      </w:r>
      <w:r>
        <w:rPr>
          <w:rFonts w:ascii="Times New Roman" w:cs="Times New Roman" w:eastAsia="Times New Roman" w:hAnsi="Times New Roman"/>
          <w:sz w:val="19"/>
          <w:szCs w:val="19"/>
        </w:rPr>
        <w:t xml:space="preserve">Y. Yao, H. Li, H. Zheng, and B. Y. Zhao, "Latent backdoor attacks on deep neural networks," in </w:t>
      </w:r>
      <w:r>
        <w:rPr>
          <w:rFonts w:ascii="Times New Roman" w:cs="Times New Roman" w:eastAsia="Times New Roman" w:hAnsi="Times New Roman"/>
          <w:i/>
          <w:iCs/>
          <w:sz w:val="19"/>
          <w:szCs w:val="19"/>
        </w:rPr>
        <w:t xml:space="preserve">Proc. ACM SIGSAC Conf. Comput. Commun. Secur. (CCS)</w:t>
      </w:r>
      <w:r>
        <w:rPr>
          <w:rFonts w:ascii="Times New Roman" w:cs="Times New Roman" w:eastAsia="Times New Roman" w:hAnsi="Times New Roman"/>
          <w:sz w:val="19"/>
          <w:szCs w:val="19"/>
        </w:rPr>
        <w:t xml:space="preserve">, 2019, pp. 2041–2055.</w:t>
      </w:r>
    </w:p>
    <w:p>
      <w:pPr>
        <w:tabs>
          <w:tab w:val="left" w:pos="480"/>
        </w:tabs>
        <w:spacing w:after="60" w:line="252"/>
        <w:ind w:left="480" w:hanging="480"/>
        <w:jc w:val="both"/>
      </w:pPr>
      <w:r>
        <w:rPr>
          <w:rFonts w:ascii="Times New Roman" w:cs="Times New Roman" w:eastAsia="Times New Roman" w:hAnsi="Times New Roman"/>
          <w:sz w:val="19"/>
          <w:szCs w:val="19"/>
        </w:rPr>
        <w:t xml:space="preserve">[18]	</w:t>
      </w:r>
      <w:r>
        <w:rPr>
          <w:rFonts w:ascii="Times New Roman" w:cs="Times New Roman" w:eastAsia="Times New Roman" w:hAnsi="Times New Roman"/>
          <w:sz w:val="19"/>
          <w:szCs w:val="19"/>
        </w:rPr>
        <w:t xml:space="preserve">E. Bagdasaryan, A. Veit, Y. Hua, D. Estrin, and V. Shmatikov, "How to backdoor federated learning," in </w:t>
      </w:r>
      <w:r>
        <w:rPr>
          <w:rFonts w:ascii="Times New Roman" w:cs="Times New Roman" w:eastAsia="Times New Roman" w:hAnsi="Times New Roman"/>
          <w:i/>
          <w:iCs/>
          <w:sz w:val="19"/>
          <w:szCs w:val="19"/>
        </w:rPr>
        <w:t xml:space="preserve">Proc. Int. Conf. Artif. Intell. Statist. (AISTATS)</w:t>
      </w:r>
      <w:r>
        <w:rPr>
          <w:rFonts w:ascii="Times New Roman" w:cs="Times New Roman" w:eastAsia="Times New Roman" w:hAnsi="Times New Roman"/>
          <w:sz w:val="19"/>
          <w:szCs w:val="19"/>
        </w:rPr>
        <w:t xml:space="preserve">, 2020, pp. 2938–2948.</w:t>
      </w:r>
    </w:p>
    <w:p>
      <w:pPr>
        <w:tabs>
          <w:tab w:val="left" w:pos="480"/>
        </w:tabs>
        <w:spacing w:after="60" w:line="252"/>
        <w:ind w:left="480" w:hanging="480"/>
        <w:jc w:val="both"/>
      </w:pPr>
      <w:r>
        <w:rPr>
          <w:rFonts w:ascii="Times New Roman" w:cs="Times New Roman" w:eastAsia="Times New Roman" w:hAnsi="Times New Roman"/>
          <w:sz w:val="19"/>
          <w:szCs w:val="19"/>
        </w:rPr>
        <w:t xml:space="preserve">[19]	</w:t>
      </w:r>
      <w:r>
        <w:rPr>
          <w:rFonts w:ascii="Times New Roman" w:cs="Times New Roman" w:eastAsia="Times New Roman" w:hAnsi="Times New Roman"/>
          <w:sz w:val="19"/>
          <w:szCs w:val="19"/>
        </w:rPr>
        <w:t xml:space="preserve">A. Shafahi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"Poison frogs! Targeted clean-label poisoning attacks on neural networks," in </w:t>
      </w:r>
      <w:r>
        <w:rPr>
          <w:rFonts w:ascii="Times New Roman" w:cs="Times New Roman" w:eastAsia="Times New Roman" w:hAnsi="Times New Roman"/>
          <w:i/>
          <w:iCs/>
          <w:sz w:val="19"/>
          <w:szCs w:val="19"/>
        </w:rPr>
        <w:t xml:space="preserve">Adv. Neural Inf. Process. Syst. (NeurIPS)</w:t>
      </w:r>
      <w:r>
        <w:rPr>
          <w:rFonts w:ascii="Times New Roman" w:cs="Times New Roman" w:eastAsia="Times New Roman" w:hAnsi="Times New Roman"/>
          <w:sz w:val="19"/>
          <w:szCs w:val="19"/>
        </w:rPr>
        <w:t xml:space="preserve">, vol. 31, 2018.</w:t>
      </w:r>
    </w:p>
    <w:p>
      <w:pPr>
        <w:tabs>
          <w:tab w:val="left" w:pos="480"/>
        </w:tabs>
        <w:spacing w:after="60" w:line="252"/>
        <w:ind w:left="480" w:hanging="480"/>
        <w:jc w:val="both"/>
      </w:pPr>
      <w:r>
        <w:rPr>
          <w:rFonts w:ascii="Times New Roman" w:cs="Times New Roman" w:eastAsia="Times New Roman" w:hAnsi="Times New Roman"/>
          <w:sz w:val="19"/>
          <w:szCs w:val="19"/>
        </w:rPr>
        <w:t xml:space="preserve">[20]	</w:t>
      </w:r>
      <w:r>
        <w:rPr>
          <w:rFonts w:ascii="Times New Roman" w:cs="Times New Roman" w:eastAsia="Times New Roman" w:hAnsi="Times New Roman"/>
          <w:sz w:val="19"/>
          <w:szCs w:val="19"/>
        </w:rPr>
        <w:t xml:space="preserve">A. Saha, A. Subramanya, and H. Pirsiavash, "Hidden trigger backdoor attacks," in </w:t>
      </w:r>
      <w:r>
        <w:rPr>
          <w:rFonts w:ascii="Times New Roman" w:cs="Times New Roman" w:eastAsia="Times New Roman" w:hAnsi="Times New Roman"/>
          <w:i/>
          <w:iCs/>
          <w:sz w:val="19"/>
          <w:szCs w:val="19"/>
        </w:rPr>
        <w:t xml:space="preserve">Proc. AAAI Conf. Artif. Intell.</w:t>
      </w:r>
      <w:r>
        <w:rPr>
          <w:rFonts w:ascii="Times New Roman" w:cs="Times New Roman" w:eastAsia="Times New Roman" w:hAnsi="Times New Roman"/>
          <w:sz w:val="19"/>
          <w:szCs w:val="19"/>
        </w:rPr>
        <w:t xml:space="preserve">, vol. 34, no. 7, 2020, pp. 11957–11965.</w:t>
      </w:r>
    </w:p>
    <w:p>
      <w:pPr>
        <w:tabs>
          <w:tab w:val="left" w:pos="480"/>
        </w:tabs>
        <w:spacing w:after="60" w:line="252"/>
        <w:ind w:left="480" w:hanging="480"/>
        <w:jc w:val="both"/>
      </w:pPr>
      <w:r>
        <w:rPr>
          <w:rFonts w:ascii="Times New Roman" w:cs="Times New Roman" w:eastAsia="Times New Roman" w:hAnsi="Times New Roman"/>
          <w:sz w:val="19"/>
          <w:szCs w:val="19"/>
        </w:rPr>
        <w:t xml:space="preserve">[21]	</w:t>
      </w:r>
      <w:r>
        <w:rPr>
          <w:rFonts w:ascii="Times New Roman" w:cs="Times New Roman" w:eastAsia="Times New Roman" w:hAnsi="Times New Roman"/>
          <w:sz w:val="19"/>
          <w:szCs w:val="19"/>
        </w:rPr>
        <w:t xml:space="preserve">Y. Zeng, W. Park, Z. M. Mao, and R. Jia, "Rethinking the backdoor attacks' triggers: A frequency perspective," in </w:t>
      </w:r>
      <w:r>
        <w:rPr>
          <w:rFonts w:ascii="Times New Roman" w:cs="Times New Roman" w:eastAsia="Times New Roman" w:hAnsi="Times New Roman"/>
          <w:i/>
          <w:iCs/>
          <w:sz w:val="19"/>
          <w:szCs w:val="19"/>
        </w:rPr>
        <w:t xml:space="preserve">Proc. IEEE/CVF Int. Conf. Comput. Vis. (ICCV)</w:t>
      </w:r>
      <w:r>
        <w:rPr>
          <w:rFonts w:ascii="Times New Roman" w:cs="Times New Roman" w:eastAsia="Times New Roman" w:hAnsi="Times New Roman"/>
          <w:sz w:val="19"/>
          <w:szCs w:val="19"/>
        </w:rPr>
        <w:t xml:space="preserve">, 2021, pp. 16473–16481.</w:t>
      </w:r>
    </w:p>
    <w:p>
      <w:pPr>
        <w:tabs>
          <w:tab w:val="left" w:pos="480"/>
        </w:tabs>
        <w:spacing w:after="60" w:line="252"/>
        <w:ind w:left="480" w:hanging="480"/>
        <w:jc w:val="both"/>
      </w:pPr>
      <w:r>
        <w:rPr>
          <w:rFonts w:ascii="Times New Roman" w:cs="Times New Roman" w:eastAsia="Times New Roman" w:hAnsi="Times New Roman"/>
          <w:sz w:val="19"/>
          <w:szCs w:val="19"/>
        </w:rPr>
        <w:t xml:space="preserve">[22]	</w:t>
      </w:r>
      <w:r>
        <w:rPr>
          <w:rFonts w:ascii="Times New Roman" w:cs="Times New Roman" w:eastAsia="Times New Roman" w:hAnsi="Times New Roman"/>
          <w:sz w:val="19"/>
          <w:szCs w:val="19"/>
        </w:rPr>
        <w:t xml:space="preserve">T. A. Nguyen and A. Tran, "Input-aware dynamic backdoor attack," in </w:t>
      </w:r>
      <w:r>
        <w:rPr>
          <w:rFonts w:ascii="Times New Roman" w:cs="Times New Roman" w:eastAsia="Times New Roman" w:hAnsi="Times New Roman"/>
          <w:i/>
          <w:iCs/>
          <w:sz w:val="19"/>
          <w:szCs w:val="19"/>
        </w:rPr>
        <w:t xml:space="preserve">Adv. Neural Inf. Process. Syst. (NeurIPS)</w:t>
      </w:r>
      <w:r>
        <w:rPr>
          <w:rFonts w:ascii="Times New Roman" w:cs="Times New Roman" w:eastAsia="Times New Roman" w:hAnsi="Times New Roman"/>
          <w:sz w:val="19"/>
          <w:szCs w:val="19"/>
        </w:rPr>
        <w:t xml:space="preserve">, vol. 33, 2020.</w:t>
      </w:r>
    </w:p>
    <w:p>
      <w:pPr>
        <w:tabs>
          <w:tab w:val="left" w:pos="480"/>
        </w:tabs>
        <w:spacing w:after="60" w:line="252"/>
        <w:ind w:left="480" w:hanging="480"/>
        <w:jc w:val="both"/>
      </w:pPr>
      <w:r>
        <w:rPr>
          <w:rFonts w:ascii="Times New Roman" w:cs="Times New Roman" w:eastAsia="Times New Roman" w:hAnsi="Times New Roman"/>
          <w:sz w:val="19"/>
          <w:szCs w:val="19"/>
        </w:rPr>
        <w:t xml:space="preserve">[23]	</w:t>
      </w:r>
      <w:r>
        <w:rPr>
          <w:rFonts w:ascii="Times New Roman" w:cs="Times New Roman" w:eastAsia="Times New Roman" w:hAnsi="Times New Roman"/>
          <w:sz w:val="19"/>
          <w:szCs w:val="19"/>
        </w:rPr>
        <w:t xml:space="preserve">B. Biggio and F. Roli, "Wild patterns: Ten years after the rise of adversarial machine learning," </w:t>
      </w:r>
      <w:r>
        <w:rPr>
          <w:rFonts w:ascii="Times New Roman" w:cs="Times New Roman" w:eastAsia="Times New Roman" w:hAnsi="Times New Roman"/>
          <w:i/>
          <w:iCs/>
          <w:sz w:val="19"/>
          <w:szCs w:val="19"/>
        </w:rPr>
        <w:t xml:space="preserve">Pattern Recognit.</w:t>
      </w:r>
      <w:r>
        <w:rPr>
          <w:rFonts w:ascii="Times New Roman" w:cs="Times New Roman" w:eastAsia="Times New Roman" w:hAnsi="Times New Roman"/>
          <w:sz w:val="19"/>
          <w:szCs w:val="19"/>
        </w:rPr>
        <w:t xml:space="preserve">, vol. 84, pp. 317–331, 2018.</w:t>
      </w:r>
    </w:p>
    <w:p>
      <w:pPr>
        <w:tabs>
          <w:tab w:val="left" w:pos="480"/>
        </w:tabs>
        <w:spacing w:after="60" w:line="252"/>
        <w:ind w:left="480" w:hanging="480"/>
        <w:jc w:val="both"/>
      </w:pPr>
      <w:r>
        <w:rPr>
          <w:rFonts w:ascii="Times New Roman" w:cs="Times New Roman" w:eastAsia="Times New Roman" w:hAnsi="Times New Roman"/>
          <w:sz w:val="19"/>
          <w:szCs w:val="19"/>
        </w:rPr>
        <w:t xml:space="preserve">[24]	</w:t>
      </w:r>
      <w:r>
        <w:rPr>
          <w:rFonts w:ascii="Times New Roman" w:cs="Times New Roman" w:eastAsia="Times New Roman" w:hAnsi="Times New Roman"/>
          <w:sz w:val="19"/>
          <w:szCs w:val="19"/>
        </w:rPr>
        <w:t xml:space="preserve">C. Szegedy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"Intriguing properties of neural networks," in </w:t>
      </w:r>
      <w:r>
        <w:rPr>
          <w:rFonts w:ascii="Times New Roman" w:cs="Times New Roman" w:eastAsia="Times New Roman" w:hAnsi="Times New Roman"/>
          <w:i/>
          <w:iCs/>
          <w:sz w:val="19"/>
          <w:szCs w:val="19"/>
        </w:rPr>
        <w:t xml:space="preserve">Proc. Int. Conf. Learn. Represent. (ICLR)</w:t>
      </w:r>
      <w:r>
        <w:rPr>
          <w:rFonts w:ascii="Times New Roman" w:cs="Times New Roman" w:eastAsia="Times New Roman" w:hAnsi="Times New Roman"/>
          <w:sz w:val="19"/>
          <w:szCs w:val="19"/>
        </w:rPr>
        <w:t xml:space="preserve">, 2014.</w:t>
      </w:r>
    </w:p>
    <w:p>
      <w:pPr>
        <w:tabs>
          <w:tab w:val="left" w:pos="480"/>
        </w:tabs>
        <w:spacing w:after="60" w:line="252"/>
        <w:ind w:left="480" w:hanging="480"/>
        <w:jc w:val="both"/>
      </w:pPr>
      <w:r>
        <w:rPr>
          <w:rFonts w:ascii="Times New Roman" w:cs="Times New Roman" w:eastAsia="Times New Roman" w:hAnsi="Times New Roman"/>
          <w:sz w:val="19"/>
          <w:szCs w:val="19"/>
        </w:rPr>
        <w:t xml:space="preserve">[25]	</w:t>
      </w:r>
      <w:r>
        <w:rPr>
          <w:rFonts w:ascii="Times New Roman" w:cs="Times New Roman" w:eastAsia="Times New Roman" w:hAnsi="Times New Roman"/>
          <w:sz w:val="19"/>
          <w:szCs w:val="19"/>
        </w:rPr>
        <w:t xml:space="preserve">I. J. Goodfellow, J. Shlens, and C. Szegedy, "Explaining and harnessing adversarial examples," in </w:t>
      </w:r>
      <w:r>
        <w:rPr>
          <w:rFonts w:ascii="Times New Roman" w:cs="Times New Roman" w:eastAsia="Times New Roman" w:hAnsi="Times New Roman"/>
          <w:i/>
          <w:iCs/>
          <w:sz w:val="19"/>
          <w:szCs w:val="19"/>
        </w:rPr>
        <w:t xml:space="preserve">Proc. Int. Conf. Learn. Represent. (ICLR)</w:t>
      </w:r>
      <w:r>
        <w:rPr>
          <w:rFonts w:ascii="Times New Roman" w:cs="Times New Roman" w:eastAsia="Times New Roman" w:hAnsi="Times New Roman"/>
          <w:sz w:val="19"/>
          <w:szCs w:val="19"/>
        </w:rPr>
        <w:t xml:space="preserve">, 2015.</w:t>
      </w:r>
    </w:p>
    <w:p>
      <w:pPr>
        <w:tabs>
          <w:tab w:val="left" w:pos="480"/>
        </w:tabs>
        <w:spacing w:after="60" w:line="252"/>
        <w:ind w:left="480" w:hanging="480"/>
        <w:jc w:val="both"/>
      </w:pPr>
      <w:r>
        <w:rPr>
          <w:rFonts w:ascii="Times New Roman" w:cs="Times New Roman" w:eastAsia="Times New Roman" w:hAnsi="Times New Roman"/>
          <w:sz w:val="19"/>
          <w:szCs w:val="19"/>
        </w:rPr>
        <w:t xml:space="preserve">[26]	</w:t>
      </w:r>
      <w:r>
        <w:rPr>
          <w:rFonts w:ascii="Times New Roman" w:cs="Times New Roman" w:eastAsia="Times New Roman" w:hAnsi="Times New Roman"/>
          <w:sz w:val="19"/>
          <w:szCs w:val="19"/>
        </w:rPr>
        <w:t xml:space="preserve">A. Madry, A. Makelov, L. Schmidt, D. Tsipras, and A. Vladu, "Towards deep learning models resistant to adversarial attacks," in </w:t>
      </w:r>
      <w:r>
        <w:rPr>
          <w:rFonts w:ascii="Times New Roman" w:cs="Times New Roman" w:eastAsia="Times New Roman" w:hAnsi="Times New Roman"/>
          <w:i/>
          <w:iCs/>
          <w:sz w:val="19"/>
          <w:szCs w:val="19"/>
        </w:rPr>
        <w:t xml:space="preserve">Proc. Int. Conf. Learn. Represent. (ICLR)</w:t>
      </w:r>
      <w:r>
        <w:rPr>
          <w:rFonts w:ascii="Times New Roman" w:cs="Times New Roman" w:eastAsia="Times New Roman" w:hAnsi="Times New Roman"/>
          <w:sz w:val="19"/>
          <w:szCs w:val="19"/>
        </w:rPr>
        <w:t xml:space="preserve">, 2018.</w:t>
      </w:r>
    </w:p>
    <w:p>
      <w:pPr>
        <w:tabs>
          <w:tab w:val="left" w:pos="480"/>
        </w:tabs>
        <w:spacing w:after="60" w:line="252"/>
        <w:ind w:left="480" w:hanging="480"/>
        <w:jc w:val="both"/>
      </w:pPr>
      <w:r>
        <w:rPr>
          <w:rFonts w:ascii="Times New Roman" w:cs="Times New Roman" w:eastAsia="Times New Roman" w:hAnsi="Times New Roman"/>
          <w:sz w:val="19"/>
          <w:szCs w:val="19"/>
        </w:rPr>
        <w:t xml:space="preserve">[27]	</w:t>
      </w:r>
      <w:r>
        <w:rPr>
          <w:rFonts w:ascii="Times New Roman" w:cs="Times New Roman" w:eastAsia="Times New Roman" w:hAnsi="Times New Roman"/>
          <w:sz w:val="19"/>
          <w:szCs w:val="19"/>
        </w:rPr>
        <w:t xml:space="preserve">N. Carlini and D. Wagner, "Towards evaluating the robustness of neural networks," in </w:t>
      </w:r>
      <w:r>
        <w:rPr>
          <w:rFonts w:ascii="Times New Roman" w:cs="Times New Roman" w:eastAsia="Times New Roman" w:hAnsi="Times New Roman"/>
          <w:i/>
          <w:iCs/>
          <w:sz w:val="19"/>
          <w:szCs w:val="19"/>
        </w:rPr>
        <w:t xml:space="preserve">Proc. IEEE Symp. Secur. Privacy</w:t>
      </w:r>
      <w:r>
        <w:rPr>
          <w:rFonts w:ascii="Times New Roman" w:cs="Times New Roman" w:eastAsia="Times New Roman" w:hAnsi="Times New Roman"/>
          <w:sz w:val="19"/>
          <w:szCs w:val="19"/>
        </w:rPr>
        <w:t xml:space="preserve">, 2017, pp. 39–57.</w:t>
      </w:r>
    </w:p>
    <w:p>
      <w:pPr>
        <w:tabs>
          <w:tab w:val="left" w:pos="480"/>
        </w:tabs>
        <w:spacing w:after="60" w:line="252"/>
        <w:ind w:left="480" w:hanging="480"/>
        <w:jc w:val="both"/>
      </w:pPr>
      <w:r>
        <w:rPr>
          <w:rFonts w:ascii="Times New Roman" w:cs="Times New Roman" w:eastAsia="Times New Roman" w:hAnsi="Times New Roman"/>
          <w:sz w:val="19"/>
          <w:szCs w:val="19"/>
        </w:rPr>
        <w:t xml:space="preserve">[28]	</w:t>
      </w:r>
      <w:r>
        <w:rPr>
          <w:rFonts w:ascii="Times New Roman" w:cs="Times New Roman" w:eastAsia="Times New Roman" w:hAnsi="Times New Roman"/>
          <w:sz w:val="19"/>
          <w:szCs w:val="19"/>
        </w:rPr>
        <w:t xml:space="preserve">Y. Li, X. Lyu, N. Koren, L. Lyu, B. Li, and X. Ma, "Neural attention distillation: Erasing backdoor triggers from deep neural networks," in </w:t>
      </w:r>
      <w:r>
        <w:rPr>
          <w:rFonts w:ascii="Times New Roman" w:cs="Times New Roman" w:eastAsia="Times New Roman" w:hAnsi="Times New Roman"/>
          <w:i/>
          <w:iCs/>
          <w:sz w:val="19"/>
          <w:szCs w:val="19"/>
        </w:rPr>
        <w:t xml:space="preserve">Proc. Int. Conf. Learn. Represent. (ICLR)</w:t>
      </w:r>
      <w:r>
        <w:rPr>
          <w:rFonts w:ascii="Times New Roman" w:cs="Times New Roman" w:eastAsia="Times New Roman" w:hAnsi="Times New Roman"/>
          <w:sz w:val="19"/>
          <w:szCs w:val="19"/>
        </w:rPr>
        <w:t xml:space="preserve">, 2021.</w:t>
      </w:r>
    </w:p>
    <w:p>
      <w:pPr>
        <w:tabs>
          <w:tab w:val="left" w:pos="480"/>
        </w:tabs>
        <w:spacing w:after="60" w:line="252"/>
        <w:ind w:left="480" w:hanging="480"/>
        <w:jc w:val="both"/>
      </w:pPr>
      <w:r>
        <w:rPr>
          <w:rFonts w:ascii="Times New Roman" w:cs="Times New Roman" w:eastAsia="Times New Roman" w:hAnsi="Times New Roman"/>
          <w:sz w:val="19"/>
          <w:szCs w:val="19"/>
        </w:rPr>
        <w:t xml:space="preserve">[29]	</w:t>
      </w:r>
      <w:r>
        <w:rPr>
          <w:rFonts w:ascii="Times New Roman" w:cs="Times New Roman" w:eastAsia="Times New Roman" w:hAnsi="Times New Roman"/>
          <w:sz w:val="19"/>
          <w:szCs w:val="19"/>
        </w:rPr>
        <w:t xml:space="preserve">Y. Li, X. Lyu, N. Koren, L. Lyu, B. Li, and X. Ma, "Anti-backdoor learning: Training clean models on poisoned data," in </w:t>
      </w:r>
      <w:r>
        <w:rPr>
          <w:rFonts w:ascii="Times New Roman" w:cs="Times New Roman" w:eastAsia="Times New Roman" w:hAnsi="Times New Roman"/>
          <w:i/>
          <w:iCs/>
          <w:sz w:val="19"/>
          <w:szCs w:val="19"/>
        </w:rPr>
        <w:t xml:space="preserve">Adv. Neural Inf. Process. Syst. (NeurIPS)</w:t>
      </w:r>
      <w:r>
        <w:rPr>
          <w:rFonts w:ascii="Times New Roman" w:cs="Times New Roman" w:eastAsia="Times New Roman" w:hAnsi="Times New Roman"/>
          <w:sz w:val="19"/>
          <w:szCs w:val="19"/>
        </w:rPr>
        <w:t xml:space="preserve">, vol. 34, 2021.</w:t>
      </w:r>
    </w:p>
    <w:p>
      <w:pPr>
        <w:tabs>
          <w:tab w:val="left" w:pos="480"/>
        </w:tabs>
        <w:spacing w:after="60" w:line="252"/>
        <w:ind w:left="480" w:hanging="480"/>
        <w:jc w:val="both"/>
      </w:pPr>
      <w:r>
        <w:rPr>
          <w:rFonts w:ascii="Times New Roman" w:cs="Times New Roman" w:eastAsia="Times New Roman" w:hAnsi="Times New Roman"/>
          <w:sz w:val="19"/>
          <w:szCs w:val="19"/>
        </w:rPr>
        <w:t xml:space="preserve">[30]	</w:t>
      </w:r>
      <w:r>
        <w:rPr>
          <w:rFonts w:ascii="Times New Roman" w:cs="Times New Roman" w:eastAsia="Times New Roman" w:hAnsi="Times New Roman"/>
          <w:sz w:val="19"/>
          <w:szCs w:val="19"/>
        </w:rPr>
        <w:t xml:space="preserve">C. Dwork, "Differential privacy," in </w:t>
      </w:r>
      <w:r>
        <w:rPr>
          <w:rFonts w:ascii="Times New Roman" w:cs="Times New Roman" w:eastAsia="Times New Roman" w:hAnsi="Times New Roman"/>
          <w:i/>
          <w:iCs/>
          <w:sz w:val="19"/>
          <w:szCs w:val="19"/>
        </w:rPr>
        <w:t xml:space="preserve">Proc. Int. Colloq. Automata, Languages, Programming (ICALP)</w:t>
      </w:r>
      <w:r>
        <w:rPr>
          <w:rFonts w:ascii="Times New Roman" w:cs="Times New Roman" w:eastAsia="Times New Roman" w:hAnsi="Times New Roman"/>
          <w:sz w:val="19"/>
          <w:szCs w:val="19"/>
        </w:rPr>
        <w:t xml:space="preserve">, 2006, pp. 1–12.</w:t>
      </w:r>
    </w:p>
    <w:p>
      <w:pPr>
        <w:tabs>
          <w:tab w:val="left" w:pos="480"/>
        </w:tabs>
        <w:spacing w:after="60" w:line="252"/>
        <w:ind w:left="480" w:hanging="480"/>
        <w:jc w:val="both"/>
      </w:pPr>
      <w:r>
        <w:rPr>
          <w:rFonts w:ascii="Times New Roman" w:cs="Times New Roman" w:eastAsia="Times New Roman" w:hAnsi="Times New Roman"/>
          <w:sz w:val="19"/>
          <w:szCs w:val="19"/>
        </w:rPr>
        <w:t xml:space="preserve">[31]	</w:t>
      </w:r>
      <w:r>
        <w:rPr>
          <w:rFonts w:ascii="Times New Roman" w:cs="Times New Roman" w:eastAsia="Times New Roman" w:hAnsi="Times New Roman"/>
          <w:sz w:val="19"/>
          <w:szCs w:val="19"/>
        </w:rPr>
        <w:t xml:space="preserve">R. R. Selvaraju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"Grad-CAM: Visual explanations from deep networks via gradient-based localization," in </w:t>
      </w:r>
      <w:r>
        <w:rPr>
          <w:rFonts w:ascii="Times New Roman" w:cs="Times New Roman" w:eastAsia="Times New Roman" w:hAnsi="Times New Roman"/>
          <w:i/>
          <w:iCs/>
          <w:sz w:val="19"/>
          <w:szCs w:val="19"/>
        </w:rPr>
        <w:t xml:space="preserve">Proc. IEEE Int. Conf. Comput. Vis. (ICCV)</w:t>
      </w:r>
      <w:r>
        <w:rPr>
          <w:rFonts w:ascii="Times New Roman" w:cs="Times New Roman" w:eastAsia="Times New Roman" w:hAnsi="Times New Roman"/>
          <w:sz w:val="19"/>
          <w:szCs w:val="19"/>
        </w:rPr>
        <w:t xml:space="preserve">, 2017, pp. 618–626.</w:t>
      </w:r>
    </w:p>
    <w:p>
      <w:pPr>
        <w:tabs>
          <w:tab w:val="left" w:pos="480"/>
        </w:tabs>
        <w:spacing w:after="60" w:line="252"/>
        <w:ind w:left="480" w:hanging="480"/>
        <w:jc w:val="both"/>
      </w:pPr>
      <w:r>
        <w:rPr>
          <w:rFonts w:ascii="Times New Roman" w:cs="Times New Roman" w:eastAsia="Times New Roman" w:hAnsi="Times New Roman"/>
          <w:sz w:val="19"/>
          <w:szCs w:val="19"/>
        </w:rPr>
        <w:t xml:space="preserve">[32]	</w:t>
      </w:r>
      <w:r>
        <w:rPr>
          <w:rFonts w:ascii="Times New Roman" w:cs="Times New Roman" w:eastAsia="Times New Roman" w:hAnsi="Times New Roman"/>
          <w:sz w:val="19"/>
          <w:szCs w:val="19"/>
        </w:rPr>
        <w:t xml:space="preserve">S. M. Lundberg and S.-I. Lee, "A unified approach to interpreting model predictions," in </w:t>
      </w:r>
      <w:r>
        <w:rPr>
          <w:rFonts w:ascii="Times New Roman" w:cs="Times New Roman" w:eastAsia="Times New Roman" w:hAnsi="Times New Roman"/>
          <w:i/>
          <w:iCs/>
          <w:sz w:val="19"/>
          <w:szCs w:val="19"/>
        </w:rPr>
        <w:t xml:space="preserve">Adv. Neural Inf. Process. Syst. (NeurIPS)</w:t>
      </w:r>
      <w:r>
        <w:rPr>
          <w:rFonts w:ascii="Times New Roman" w:cs="Times New Roman" w:eastAsia="Times New Roman" w:hAnsi="Times New Roman"/>
          <w:sz w:val="19"/>
          <w:szCs w:val="19"/>
        </w:rPr>
        <w:t xml:space="preserve">, vol. 30, 2017.</w:t>
      </w:r>
    </w:p>
    <w:p>
      <w:pPr>
        <w:tabs>
          <w:tab w:val="left" w:pos="480"/>
        </w:tabs>
        <w:spacing w:after="60" w:line="252"/>
        <w:ind w:left="480" w:hanging="480"/>
        <w:jc w:val="both"/>
      </w:pPr>
      <w:r>
        <w:rPr>
          <w:rFonts w:ascii="Times New Roman" w:cs="Times New Roman" w:eastAsia="Times New Roman" w:hAnsi="Times New Roman"/>
          <w:sz w:val="19"/>
          <w:szCs w:val="19"/>
        </w:rPr>
        <w:t xml:space="preserve">[33]	</w:t>
      </w:r>
      <w:r>
        <w:rPr>
          <w:rFonts w:ascii="Times New Roman" w:cs="Times New Roman" w:eastAsia="Times New Roman" w:hAnsi="Times New Roman"/>
          <w:sz w:val="19"/>
          <w:szCs w:val="19"/>
        </w:rPr>
        <w:t xml:space="preserve">M. T. Ribeiro, S. Singh, and C. Guestrin, "'Why should I trust you?': Explaining the predictions of any classifier," in </w:t>
      </w:r>
      <w:r>
        <w:rPr>
          <w:rFonts w:ascii="Times New Roman" w:cs="Times New Roman" w:eastAsia="Times New Roman" w:hAnsi="Times New Roman"/>
          <w:i/>
          <w:iCs/>
          <w:sz w:val="19"/>
          <w:szCs w:val="19"/>
        </w:rPr>
        <w:t xml:space="preserve">Proc. ACM SIGKDD Int. Conf. Knowl. Discovery Data Mining</w:t>
      </w:r>
      <w:r>
        <w:rPr>
          <w:rFonts w:ascii="Times New Roman" w:cs="Times New Roman" w:eastAsia="Times New Roman" w:hAnsi="Times New Roman"/>
          <w:sz w:val="19"/>
          <w:szCs w:val="19"/>
        </w:rPr>
        <w:t xml:space="preserve">, 2016, pp. 1135–1144.</w:t>
      </w:r>
    </w:p>
    <w:p>
      <w:pPr>
        <w:tabs>
          <w:tab w:val="left" w:pos="480"/>
        </w:tabs>
        <w:spacing w:after="60" w:line="252"/>
        <w:ind w:left="480" w:hanging="480"/>
        <w:jc w:val="both"/>
      </w:pPr>
      <w:r>
        <w:rPr>
          <w:rFonts w:ascii="Times New Roman" w:cs="Times New Roman" w:eastAsia="Times New Roman" w:hAnsi="Times New Roman"/>
          <w:sz w:val="19"/>
          <w:szCs w:val="19"/>
        </w:rPr>
        <w:t xml:space="preserve">[34]	</w:t>
      </w:r>
      <w:r>
        <w:rPr>
          <w:rFonts w:ascii="Times New Roman" w:cs="Times New Roman" w:eastAsia="Times New Roman" w:hAnsi="Times New Roman"/>
          <w:sz w:val="19"/>
          <w:szCs w:val="19"/>
        </w:rPr>
        <w:t xml:space="preserve">Y. Li, M. Ya, Y. Bai, Y. Jiang, and S.-T. Xia, "BackdoorBox: A Python toolbox for backdoor learning," in </w:t>
      </w:r>
      <w:r>
        <w:rPr>
          <w:rFonts w:ascii="Times New Roman" w:cs="Times New Roman" w:eastAsia="Times New Roman" w:hAnsi="Times New Roman"/>
          <w:i/>
          <w:iCs/>
          <w:sz w:val="19"/>
          <w:szCs w:val="19"/>
        </w:rPr>
        <w:t xml:space="preserve">Proc. ICLR Workshop Backdoor Attacks Defenses Mach. Learn.</w:t>
      </w:r>
      <w:r>
        <w:rPr>
          <w:rFonts w:ascii="Times New Roman" w:cs="Times New Roman" w:eastAsia="Times New Roman" w:hAnsi="Times New Roman"/>
          <w:sz w:val="19"/>
          <w:szCs w:val="19"/>
        </w:rPr>
        <w:t xml:space="preserve">, 2023.</w:t>
      </w:r>
    </w:p>
    <w:p>
      <w:pPr>
        <w:tabs>
          <w:tab w:val="left" w:pos="480"/>
        </w:tabs>
        <w:spacing w:after="60" w:line="252"/>
        <w:ind w:left="480" w:hanging="480"/>
        <w:jc w:val="both"/>
      </w:pPr>
      <w:r>
        <w:rPr>
          <w:rFonts w:ascii="Times New Roman" w:cs="Times New Roman" w:eastAsia="Times New Roman" w:hAnsi="Times New Roman"/>
          <w:sz w:val="19"/>
          <w:szCs w:val="19"/>
        </w:rPr>
        <w:t xml:space="preserve">[35]	</w:t>
      </w:r>
      <w:r>
        <w:rPr>
          <w:rFonts w:ascii="Times New Roman" w:cs="Times New Roman" w:eastAsia="Times New Roman" w:hAnsi="Times New Roman"/>
          <w:sz w:val="19"/>
          <w:szCs w:val="19"/>
        </w:rPr>
        <w:t xml:space="preserve">R. Pang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"TrojanZoo: Towards unified, holistic, and practical evaluation of neural backdoors," in </w:t>
      </w:r>
      <w:r>
        <w:rPr>
          <w:rFonts w:ascii="Times New Roman" w:cs="Times New Roman" w:eastAsia="Times New Roman" w:hAnsi="Times New Roman"/>
          <w:i/>
          <w:iCs/>
          <w:sz w:val="19"/>
          <w:szCs w:val="19"/>
        </w:rPr>
        <w:t xml:space="preserve">Proc. IEEE Eur. Symp. Secur. Privacy (EuroS&amp;P)</w:t>
      </w:r>
      <w:r>
        <w:rPr>
          <w:rFonts w:ascii="Times New Roman" w:cs="Times New Roman" w:eastAsia="Times New Roman" w:hAnsi="Times New Roman"/>
          <w:sz w:val="19"/>
          <w:szCs w:val="19"/>
        </w:rPr>
        <w:t xml:space="preserve">, 2022, pp. 684–702.</w:t>
      </w:r>
    </w:p>
    <w:p>
      <w:pPr>
        <w:tabs>
          <w:tab w:val="left" w:pos="480"/>
        </w:tabs>
        <w:spacing w:after="60" w:line="252"/>
        <w:ind w:left="480" w:hanging="480"/>
        <w:jc w:val="both"/>
      </w:pPr>
      <w:r>
        <w:rPr>
          <w:rFonts w:ascii="Times New Roman" w:cs="Times New Roman" w:eastAsia="Times New Roman" w:hAnsi="Times New Roman"/>
          <w:sz w:val="19"/>
          <w:szCs w:val="19"/>
        </w:rPr>
        <w:t xml:space="preserve">[36]	</w:t>
      </w:r>
      <w:r>
        <w:rPr>
          <w:rFonts w:ascii="Times New Roman" w:cs="Times New Roman" w:eastAsia="Times New Roman" w:hAnsi="Times New Roman"/>
          <w:sz w:val="19"/>
          <w:szCs w:val="19"/>
        </w:rPr>
        <w:t xml:space="preserve">B. Wu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"BackdoorBench: A comprehensive benchmark of backdoor learning," in </w:t>
      </w:r>
      <w:r>
        <w:rPr>
          <w:rFonts w:ascii="Times New Roman" w:cs="Times New Roman" w:eastAsia="Times New Roman" w:hAnsi="Times New Roman"/>
          <w:i/>
          <w:iCs/>
          <w:sz w:val="19"/>
          <w:szCs w:val="19"/>
        </w:rPr>
        <w:t xml:space="preserve">Adv. Neural Inf. Process. Syst. (NeurIPS) Datasets Benchmarks Track</w:t>
      </w:r>
      <w:r>
        <w:rPr>
          <w:rFonts w:ascii="Times New Roman" w:cs="Times New Roman" w:eastAsia="Times New Roman" w:hAnsi="Times New Roman"/>
          <w:sz w:val="19"/>
          <w:szCs w:val="19"/>
        </w:rPr>
        <w:t xml:space="preserve">, vol. 35, 2022.</w:t>
      </w:r>
    </w:p>
    <w:p>
      <w:pPr>
        <w:tabs>
          <w:tab w:val="left" w:pos="480"/>
        </w:tabs>
        <w:spacing w:after="60" w:line="252"/>
        <w:ind w:left="480" w:hanging="480"/>
        <w:jc w:val="both"/>
      </w:pPr>
      <w:r>
        <w:rPr>
          <w:rFonts w:ascii="Times New Roman" w:cs="Times New Roman" w:eastAsia="Times New Roman" w:hAnsi="Times New Roman"/>
          <w:sz w:val="19"/>
          <w:szCs w:val="19"/>
        </w:rPr>
        <w:t xml:space="preserve">[37]	</w:t>
      </w:r>
      <w:r>
        <w:rPr>
          <w:rFonts w:ascii="Times New Roman" w:cs="Times New Roman" w:eastAsia="Times New Roman" w:hAnsi="Times New Roman"/>
          <w:sz w:val="19"/>
          <w:szCs w:val="19"/>
        </w:rPr>
        <w:t xml:space="preserve">A. Krizhevsky, "Learning multiple layers of features from tiny images," Univ. Toronto, Toronto, ON, Canada, Tech. Rep., 2009.</w:t>
      </w:r>
    </w:p>
    <w:p>
      <w:pPr>
        <w:tabs>
          <w:tab w:val="left" w:pos="480"/>
        </w:tabs>
        <w:spacing w:after="60" w:line="252"/>
        <w:ind w:left="480" w:hanging="480"/>
        <w:jc w:val="both"/>
      </w:pPr>
      <w:r>
        <w:rPr>
          <w:rFonts w:ascii="Times New Roman" w:cs="Times New Roman" w:eastAsia="Times New Roman" w:hAnsi="Times New Roman"/>
          <w:sz w:val="19"/>
          <w:szCs w:val="19"/>
        </w:rPr>
        <w:t xml:space="preserve">[38]	</w:t>
      </w:r>
      <w:r>
        <w:rPr>
          <w:rFonts w:ascii="Times New Roman" w:cs="Times New Roman" w:eastAsia="Times New Roman" w:hAnsi="Times New Roman"/>
          <w:sz w:val="19"/>
          <w:szCs w:val="19"/>
        </w:rPr>
        <w:t xml:space="preserve">K. He, X. Zhang, S. Ren, and J. Sun, "Deep residual learning for image recognition," in </w:t>
      </w:r>
      <w:r>
        <w:rPr>
          <w:rFonts w:ascii="Times New Roman" w:cs="Times New Roman" w:eastAsia="Times New Roman" w:hAnsi="Times New Roman"/>
          <w:i/>
          <w:iCs/>
          <w:sz w:val="19"/>
          <w:szCs w:val="19"/>
        </w:rPr>
        <w:t xml:space="preserve">Proc. IEEE Conf. Comput. Vis. Pattern Recognit. (CVPR)</w:t>
      </w:r>
      <w:r>
        <w:rPr>
          <w:rFonts w:ascii="Times New Roman" w:cs="Times New Roman" w:eastAsia="Times New Roman" w:hAnsi="Times New Roman"/>
          <w:sz w:val="19"/>
          <w:szCs w:val="19"/>
        </w:rPr>
        <w:t xml:space="preserve">, 2016, pp. 770–778.</w:t>
      </w:r>
    </w:p>
    <w:p>
      <w:pPr>
        <w:tabs>
          <w:tab w:val="left" w:pos="480"/>
        </w:tabs>
        <w:spacing w:after="60" w:line="252"/>
        <w:ind w:left="480" w:hanging="480"/>
        <w:jc w:val="both"/>
      </w:pPr>
      <w:r>
        <w:rPr>
          <w:rFonts w:ascii="Times New Roman" w:cs="Times New Roman" w:eastAsia="Times New Roman" w:hAnsi="Times New Roman"/>
          <w:sz w:val="19"/>
          <w:szCs w:val="19"/>
        </w:rPr>
        <w:t xml:space="preserve">[39]	</w:t>
      </w:r>
      <w:r>
        <w:rPr>
          <w:rFonts w:ascii="Times New Roman" w:cs="Times New Roman" w:eastAsia="Times New Roman" w:hAnsi="Times New Roman"/>
          <w:sz w:val="19"/>
          <w:szCs w:val="19"/>
        </w:rPr>
        <w:t xml:space="preserve">K. Simonyan and A. Zisserman, "Very deep convolutional networks for large-scale image recognition," in </w:t>
      </w:r>
      <w:r>
        <w:rPr>
          <w:rFonts w:ascii="Times New Roman" w:cs="Times New Roman" w:eastAsia="Times New Roman" w:hAnsi="Times New Roman"/>
          <w:i/>
          <w:iCs/>
          <w:sz w:val="19"/>
          <w:szCs w:val="19"/>
        </w:rPr>
        <w:t xml:space="preserve">Proc. Int. Conf. Learn. Represent. (ICLR)</w:t>
      </w:r>
      <w:r>
        <w:rPr>
          <w:rFonts w:ascii="Times New Roman" w:cs="Times New Roman" w:eastAsia="Times New Roman" w:hAnsi="Times New Roman"/>
          <w:sz w:val="19"/>
          <w:szCs w:val="19"/>
        </w:rPr>
        <w:t xml:space="preserve">, 2015.</w:t>
      </w:r>
    </w:p>
    <w:p>
      <w:pPr>
        <w:tabs>
          <w:tab w:val="left" w:pos="480"/>
        </w:tabs>
        <w:spacing w:after="60" w:line="252"/>
        <w:ind w:left="480" w:hanging="480"/>
        <w:jc w:val="both"/>
      </w:pPr>
      <w:r>
        <w:rPr>
          <w:rFonts w:ascii="Times New Roman" w:cs="Times New Roman" w:eastAsia="Times New Roman" w:hAnsi="Times New Roman"/>
          <w:sz w:val="19"/>
          <w:szCs w:val="19"/>
        </w:rPr>
        <w:t xml:space="preserve">[40]	</w:t>
      </w:r>
      <w:r>
        <w:rPr>
          <w:rFonts w:ascii="Times New Roman" w:cs="Times New Roman" w:eastAsia="Times New Roman" w:hAnsi="Times New Roman"/>
          <w:sz w:val="19"/>
          <w:szCs w:val="19"/>
        </w:rPr>
        <w:t xml:space="preserve">J. Stallkamp, M. Schlipsing, J. Salmen, and C. Igel, "Man vs. computer: Benchmarking machine learning algorithms for traffic sign recognition," </w:t>
      </w:r>
      <w:r>
        <w:rPr>
          <w:rFonts w:ascii="Times New Roman" w:cs="Times New Roman" w:eastAsia="Times New Roman" w:hAnsi="Times New Roman"/>
          <w:i/>
          <w:iCs/>
          <w:sz w:val="19"/>
          <w:szCs w:val="19"/>
        </w:rPr>
        <w:t xml:space="preserve">Neural Netw.</w:t>
      </w:r>
      <w:r>
        <w:rPr>
          <w:rFonts w:ascii="Times New Roman" w:cs="Times New Roman" w:eastAsia="Times New Roman" w:hAnsi="Times New Roman"/>
          <w:sz w:val="19"/>
          <w:szCs w:val="19"/>
        </w:rPr>
        <w:t xml:space="preserve">, vol. 32, pp. 323–332, 2012.</w:t>
      </w:r>
    </w:p>
    <w:p>
      <w:pPr>
        <w:tabs>
          <w:tab w:val="left" w:pos="480"/>
        </w:tabs>
        <w:spacing w:after="60" w:line="252"/>
        <w:ind w:left="480" w:hanging="480"/>
        <w:jc w:val="both"/>
      </w:pPr>
      <w:r>
        <w:rPr>
          <w:rFonts w:ascii="Times New Roman" w:cs="Times New Roman" w:eastAsia="Times New Roman" w:hAnsi="Times New Roman"/>
          <w:sz w:val="19"/>
          <w:szCs w:val="19"/>
        </w:rPr>
        <w:t xml:space="preserve">[41]	</w:t>
      </w:r>
      <w:r>
        <w:rPr>
          <w:rFonts w:ascii="Times New Roman" w:cs="Times New Roman" w:eastAsia="Times New Roman" w:hAnsi="Times New Roman"/>
          <w:sz w:val="19"/>
          <w:szCs w:val="19"/>
        </w:rPr>
        <w:t xml:space="preserve">Y. LeCun, L. Bottou, Y. Bengio, and P. Haffner, "Gradient-based learning applied to document recognition," </w:t>
      </w:r>
      <w:r>
        <w:rPr>
          <w:rFonts w:ascii="Times New Roman" w:cs="Times New Roman" w:eastAsia="Times New Roman" w:hAnsi="Times New Roman"/>
          <w:i/>
          <w:iCs/>
          <w:sz w:val="19"/>
          <w:szCs w:val="19"/>
        </w:rPr>
        <w:t xml:space="preserve">Proc. IEEE</w:t>
      </w:r>
      <w:r>
        <w:rPr>
          <w:rFonts w:ascii="Times New Roman" w:cs="Times New Roman" w:eastAsia="Times New Roman" w:hAnsi="Times New Roman"/>
          <w:sz w:val="19"/>
          <w:szCs w:val="19"/>
        </w:rPr>
        <w:t xml:space="preserve">, vol. 86, no. 11, pp. 2278–2324, Nov. 1998.</w:t>
      </w:r>
    </w:p>
    <w:p>
      <w:pPr>
        <w:tabs>
          <w:tab w:val="left" w:pos="480"/>
        </w:tabs>
        <w:spacing w:after="60" w:line="252"/>
        <w:ind w:left="480" w:hanging="480"/>
        <w:jc w:val="both"/>
      </w:pPr>
      <w:r>
        <w:rPr>
          <w:rFonts w:ascii="Times New Roman" w:cs="Times New Roman" w:eastAsia="Times New Roman" w:hAnsi="Times New Roman"/>
          <w:sz w:val="19"/>
          <w:szCs w:val="19"/>
        </w:rPr>
        <w:t xml:space="preserve">[42]	</w:t>
      </w:r>
      <w:r>
        <w:rPr>
          <w:rFonts w:ascii="Times New Roman" w:cs="Times New Roman" w:eastAsia="Times New Roman" w:hAnsi="Times New Roman"/>
          <w:sz w:val="19"/>
          <w:szCs w:val="19"/>
        </w:rPr>
        <w:t xml:space="preserve">A. Paszke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"PyTorch: An imperative style, high-performance deep learning library," in </w:t>
      </w:r>
      <w:r>
        <w:rPr>
          <w:rFonts w:ascii="Times New Roman" w:cs="Times New Roman" w:eastAsia="Times New Roman" w:hAnsi="Times New Roman"/>
          <w:i/>
          <w:iCs/>
          <w:sz w:val="19"/>
          <w:szCs w:val="19"/>
        </w:rPr>
        <w:t xml:space="preserve">Adv. Neural Inf. Process. Syst. (NeurIPS)</w:t>
      </w:r>
      <w:r>
        <w:rPr>
          <w:rFonts w:ascii="Times New Roman" w:cs="Times New Roman" w:eastAsia="Times New Roman" w:hAnsi="Times New Roman"/>
          <w:sz w:val="19"/>
          <w:szCs w:val="19"/>
        </w:rPr>
        <w:t xml:space="preserve">, vol. 32, 2019.</w:t>
      </w:r>
    </w:p>
    <w:p>
      <w:pPr>
        <w:tabs>
          <w:tab w:val="left" w:pos="480"/>
        </w:tabs>
        <w:spacing w:after="60" w:line="252"/>
        <w:ind w:left="480" w:hanging="480"/>
        <w:jc w:val="both"/>
      </w:pPr>
      <w:r>
        <w:rPr>
          <w:rFonts w:ascii="Times New Roman" w:cs="Times New Roman" w:eastAsia="Times New Roman" w:hAnsi="Times New Roman"/>
          <w:sz w:val="19"/>
          <w:szCs w:val="19"/>
        </w:rPr>
        <w:t xml:space="preserve">[43]	</w:t>
      </w:r>
      <w:r>
        <w:rPr>
          <w:rFonts w:ascii="Times New Roman" w:cs="Times New Roman" w:eastAsia="Times New Roman" w:hAnsi="Times New Roman"/>
          <w:sz w:val="19"/>
          <w:szCs w:val="19"/>
        </w:rPr>
        <w:t xml:space="preserve">F. Pedregosa </w:t>
      </w:r>
      <w:r>
        <w:rPr>
          <w:rFonts w:ascii="Times New Roman" w:cs="Times New Roman" w:eastAsia="Times New Roman" w:hAnsi="Times New Roman"/>
          <w:i/>
          <w:iCs/>
          <w:sz w:val="19"/>
          <w:szCs w:val="19"/>
        </w:rPr>
        <w:t xml:space="preserve">et al.</w:t>
      </w:r>
      <w:r>
        <w:rPr>
          <w:rFonts w:ascii="Times New Roman" w:cs="Times New Roman" w:eastAsia="Times New Roman" w:hAnsi="Times New Roman"/>
          <w:sz w:val="19"/>
          <w:szCs w:val="19"/>
        </w:rPr>
        <w:t xml:space="preserve">, "Scikit-learn: Machine learning in Python," </w:t>
      </w:r>
      <w:r>
        <w:rPr>
          <w:rFonts w:ascii="Times New Roman" w:cs="Times New Roman" w:eastAsia="Times New Roman" w:hAnsi="Times New Roman"/>
          <w:i/>
          <w:iCs/>
          <w:sz w:val="19"/>
          <w:szCs w:val="19"/>
        </w:rPr>
        <w:t xml:space="preserve">J. Mach. Learn. Res.</w:t>
      </w:r>
      <w:r>
        <w:rPr>
          <w:rFonts w:ascii="Times New Roman" w:cs="Times New Roman" w:eastAsia="Times New Roman" w:hAnsi="Times New Roman"/>
          <w:sz w:val="19"/>
          <w:szCs w:val="19"/>
        </w:rPr>
        <w:t xml:space="preserve">, vol. 12, pp. 2825–2830, 2011.</w:t>
      </w:r>
    </w:p>
    <w:sectPr>
      <w:footerReference w:type="default" r:id="rId8"/>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00" w:before="18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bdb9c94fcd1cadbbde9238c88f6a836e21b3d1.png"/><Relationship Id="rId10" Type="http://schemas.openxmlformats.org/officeDocument/2006/relationships/image" Target="media/150e151b4e945395e20734c24101b99ce347a7cf.png"/><Relationship Id="rId11" Type="http://schemas.openxmlformats.org/officeDocument/2006/relationships/image" Target="media/558e92b9d32a4249be48fa13a0fe986256bb8a04.png"/><Relationship Id="rId12" Type="http://schemas.openxmlformats.org/officeDocument/2006/relationships/image" Target="media/fb2f37cd38361e543766fda2a9092d12b7cabb3c.png"/><Relationship Id="rId13" Type="http://schemas.openxmlformats.org/officeDocument/2006/relationships/image" Target="media/e026181cfaeb1697e829fda5ccc95a18e00ff310.png"/><Relationship Id="rId14" Type="http://schemas.openxmlformats.org/officeDocument/2006/relationships/image" Target="media/88bbfeee12e7567f09932dc20ea57bc3dcf251d5.png"/><Relationship Id="rId15" Type="http://schemas.openxmlformats.org/officeDocument/2006/relationships/image" Target="media/4d3bebbd5febf085e972010dd5267b32e76c3bd2.png"/><Relationship Id="rId16" Type="http://schemas.openxmlformats.org/officeDocument/2006/relationships/image" Target="media/6e68d7bff5b52dc1bb7620dccc6ee10812270c3c.png"/><Relationship Id="rId17" Type="http://schemas.openxmlformats.org/officeDocument/2006/relationships/image" Target="media/47483c1c32d69340ca41658c8d175aad20d8d4ac.png"/><Relationship Id="rId18" Type="http://schemas.openxmlformats.org/officeDocument/2006/relationships/image" Target="media/9e479e686d0eafd8f4b7fb7cd644dba4f7fbc013.png"/><Relationship Id="rId19" Type="http://schemas.openxmlformats.org/officeDocument/2006/relationships/image" Target="media/f40b6980bca1cce44ba50561599d7e3d91d39ed1.png"/><Relationship Id="rId20" Type="http://schemas.openxmlformats.org/officeDocument/2006/relationships/image" Target="media/25bf37228eebfe8fdab1557754c9f1dad752332f.png"/><Relationship Id="rId21" Type="http://schemas.openxmlformats.org/officeDocument/2006/relationships/image" Target="media/ded990e8f36588db3670d2b7f37068d3ff23d625.png"/><Relationship Id="rId22" Type="http://schemas.openxmlformats.org/officeDocument/2006/relationships/image" Target="media/9c9c97c704f9f63b04dc31dd42586d845fb1b2f7.png"/><Relationship Id="rId23" Type="http://schemas.openxmlformats.org/officeDocument/2006/relationships/image" Target="media/e37e45e5284cc164b4d1bb8c142acc1122c533ef.png"/><Relationship Id="rId24" Type="http://schemas.openxmlformats.org/officeDocument/2006/relationships/image" Target="media/d0565092ac9741cde3bdc32f1426307c932129d8.png"/><Relationship Id="rId25" Type="http://schemas.openxmlformats.org/officeDocument/2006/relationships/image" Target="media/0584c529c9f7f54e45f1cb8e0710b80e25e73f8e.png"/><Relationship Id="rId26" Type="http://schemas.openxmlformats.org/officeDocument/2006/relationships/image" Target="media/7788f64d1e69caff2fb08e5c8d1c0b613397cbea.png"/><Relationship Id="rId27" Type="http://schemas.openxmlformats.org/officeDocument/2006/relationships/image" Target="media/af85eff8b7ec771a72a132bc75b1f29a170e283f.png"/><Relationship Id="rId28" Type="http://schemas.openxmlformats.org/officeDocument/2006/relationships/image" Target="media/89ff2a8288813e6ecc374b0fb5af1e52c6c7fd43.png"/><Relationship Id="rId29" Type="http://schemas.openxmlformats.org/officeDocument/2006/relationships/image" Target="media/8e21138e060598d9d46ce6ec8826b3b07f94ceb0.png"/><Relationship Id="rId30" Type="http://schemas.openxmlformats.org/officeDocument/2006/relationships/image" Target="media/bb25d3f447e2a8c77c1de1301c08e97431ba3f85.png"/><Relationship Id="rId31" Type="http://schemas.openxmlformats.org/officeDocument/2006/relationships/image" Target="media/9778ba5d0ef4de9fff346a312132caece21c75cc.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Layered Smart Cyber Defence against Backdoor Attacks on Deep Learning Models</dc:title>
  <dc:creator>Thesis</dc:creator>
  <cp:lastModifiedBy>Un-named</cp:lastModifiedBy>
  <cp:revision>1</cp:revision>
  <dcterms:created xsi:type="dcterms:W3CDTF">2026-10-18T04:08:52.587Z</dcterms:created>
  <dcterms:modified xsi:type="dcterms:W3CDTF">2026-10-18T04:08:52.591Z</dcterms:modified>
</cp:coreProperties>
</file>

<file path=docProps/custom.xml><?xml version="1.0" encoding="utf-8"?>
<Properties xmlns="http://schemas.openxmlformats.org/officeDocument/2006/custom-properties" xmlns:vt="http://schemas.openxmlformats.org/officeDocument/2006/docPropsVTypes"/>
</file>