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EBAE" w14:textId="77777777" w:rsidR="00C021E8" w:rsidRDefault="00000000">
      <w:pPr>
        <w:spacing w:after="80"/>
        <w:jc w:val="center"/>
      </w:pPr>
      <w:r>
        <w:rPr>
          <w:b/>
          <w:bCs/>
          <w:color w:val="1B3A6B"/>
          <w:sz w:val="32"/>
          <w:szCs w:val="32"/>
        </w:rPr>
        <w:t>FinSight Lanka — Analytics Trainee Assessment</w:t>
      </w:r>
    </w:p>
    <w:p w14:paraId="5D142396" w14:textId="77777777" w:rsidR="00C021E8" w:rsidRDefault="00000000">
      <w:pPr>
        <w:spacing w:after="40"/>
        <w:jc w:val="center"/>
      </w:pPr>
      <w:r>
        <w:rPr>
          <w:color w:val="888888"/>
        </w:rPr>
        <w:t>Customer Data Analysis | Confidential</w:t>
      </w:r>
    </w:p>
    <w:p w14:paraId="68A6263B" w14:textId="77777777" w:rsidR="00C021E8" w:rsidRDefault="00C021E8">
      <w:pPr>
        <w:pBdr>
          <w:bottom w:val="single" w:sz="6" w:space="1" w:color="1B3A6B"/>
        </w:pBdr>
        <w:spacing w:before="120" w:after="120"/>
      </w:pPr>
    </w:p>
    <w:p w14:paraId="49159620" w14:textId="77777777" w:rsidR="00C021E8" w:rsidRDefault="00C021E8">
      <w:pPr>
        <w:spacing w:before="80" w:after="80"/>
      </w:pPr>
    </w:p>
    <w:p w14:paraId="5C2D2AA8" w14:textId="77777777" w:rsidR="00C021E8" w:rsidRDefault="00000000">
      <w:pPr>
        <w:pStyle w:val="Heading1"/>
      </w:pPr>
      <w:r>
        <w:t>Q5 — Board Summary &amp; Recommendations</w:t>
      </w:r>
    </w:p>
    <w:p w14:paraId="4BCA517D" w14:textId="77777777" w:rsidR="00C021E8" w:rsidRDefault="00C021E8">
      <w:pPr>
        <w:spacing w:before="80" w:after="80"/>
      </w:pPr>
    </w:p>
    <w:p w14:paraId="2BA4F5D0" w14:textId="77777777" w:rsidR="00C021E8" w:rsidRDefault="00000000">
      <w:pPr>
        <w:pStyle w:val="Heading2"/>
      </w:pPr>
      <w:r>
        <w:t>Section 1: Key Findings</w:t>
      </w:r>
    </w:p>
    <w:p w14:paraId="7276F863" w14:textId="2D74C157" w:rsidR="00C021E8" w:rsidRDefault="00000000">
      <w:pPr>
        <w:spacing w:before="80" w:after="80"/>
      </w:pPr>
      <w:r>
        <w:rPr>
          <w:color w:val="2D2D2D"/>
        </w:rPr>
        <w:t xml:space="preserve">The following findings are drawn from a cleaned dataset of 500 customer records. All figures reflect data after removing duplicates, correcting impossible entries, and </w:t>
      </w:r>
      <w:r w:rsidR="0094122E">
        <w:rPr>
          <w:color w:val="2D2D2D"/>
        </w:rPr>
        <w:t>standardizing</w:t>
      </w:r>
      <w:r>
        <w:rPr>
          <w:color w:val="2D2D2D"/>
        </w:rPr>
        <w:t xml:space="preserve"> inconsistent values.</w:t>
      </w:r>
    </w:p>
    <w:p w14:paraId="5923E746" w14:textId="77777777" w:rsidR="00C021E8" w:rsidRDefault="00C021E8">
      <w:pPr>
        <w:spacing w:before="80" w:after="80"/>
      </w:pPr>
    </w:p>
    <w:p w14:paraId="516C4544" w14:textId="77777777" w:rsidR="00C021E8" w:rsidRDefault="00000000">
      <w:pPr>
        <w:spacing w:before="80" w:after="80"/>
      </w:pPr>
      <w:r>
        <w:rPr>
          <w:b/>
          <w:bCs/>
          <w:color w:val="2D2D2D"/>
        </w:rPr>
        <w:t>Finding 1 — Premium Customers Drive Disproportionate Deposit Value</w:t>
      </w:r>
    </w:p>
    <w:p w14:paraId="41AA1D91" w14:textId="2E00DFD8" w:rsidR="00C021E8" w:rsidRDefault="00000000">
      <w:pPr>
        <w:spacing w:before="80" w:after="80"/>
      </w:pPr>
      <w:r>
        <w:rPr>
          <w:color w:val="2D2D2D"/>
        </w:rPr>
        <w:t xml:space="preserve">A small group of 90 Premium customers holds an average savings balance of LKR 2,655,800 — 32 times more than the 183 Starter customers who average only LKR 82,628. Although Starter customers make up the largest segment, Premium customers represent the majority of total deposit value. This means that losing even a handful of Premium customers would significantly reduce total deposits. The business must </w:t>
      </w:r>
      <w:r w:rsidR="0094122E">
        <w:rPr>
          <w:color w:val="2D2D2D"/>
        </w:rPr>
        <w:t>priorities</w:t>
      </w:r>
      <w:r>
        <w:rPr>
          <w:color w:val="2D2D2D"/>
        </w:rPr>
        <w:t xml:space="preserve"> retaining and growing this segment above all others.</w:t>
      </w:r>
    </w:p>
    <w:p w14:paraId="363D11AD" w14:textId="77777777" w:rsidR="00C021E8" w:rsidRDefault="00C021E8">
      <w:pPr>
        <w:spacing w:before="80" w:after="80"/>
      </w:pPr>
    </w:p>
    <w:p w14:paraId="5FDBF70F" w14:textId="77777777" w:rsidR="00C021E8" w:rsidRDefault="00000000">
      <w:pPr>
        <w:spacing w:before="80" w:after="80"/>
      </w:pPr>
      <w:r>
        <w:rPr>
          <w:b/>
          <w:bCs/>
          <w:color w:val="2D2D2D"/>
        </w:rPr>
        <w:t>Finding 2 — More Than Half of Loan Customers Are Over-Leveraged</w:t>
      </w:r>
    </w:p>
    <w:p w14:paraId="14A1D2CB" w14:textId="77777777" w:rsidR="00C021E8" w:rsidRDefault="00000000">
      <w:pPr>
        <w:spacing w:before="80" w:after="80"/>
      </w:pPr>
      <w:r>
        <w:rPr>
          <w:color w:val="2D2D2D"/>
        </w:rPr>
        <w:t>126 out of 212 loan customers (59.4%) have an outstanding loan balance that exceeds their total savings. This represents a total financial exposure of LKR 130,101,268. In simple terms, if these customers lost their income tomorrow, their savings would not be enough to cover what they owe. The Starter segment is the most at risk, with a default rate of 17.1% compared to 9.8% for Premium customers. Vehicle loans carry the highest default rate at 16.0%. This level of over-leverage is a serious credit risk that requires immediate management attention.</w:t>
      </w:r>
    </w:p>
    <w:p w14:paraId="1F206F25" w14:textId="77777777" w:rsidR="00C021E8" w:rsidRDefault="00C021E8">
      <w:pPr>
        <w:spacing w:before="80" w:after="80"/>
      </w:pPr>
    </w:p>
    <w:p w14:paraId="3A54972A" w14:textId="77777777" w:rsidR="00C021E8" w:rsidRDefault="00000000">
      <w:pPr>
        <w:spacing w:before="80" w:after="80"/>
      </w:pPr>
      <w:r>
        <w:rPr>
          <w:b/>
          <w:bCs/>
          <w:color w:val="2D2D2D"/>
        </w:rPr>
        <w:t>Finding 3 — Half the Customer Base Is Untapped for Cross-Selling</w:t>
      </w:r>
    </w:p>
    <w:p w14:paraId="5A37ECFD" w14:textId="77777777" w:rsidR="00C021E8" w:rsidRDefault="00000000">
      <w:pPr>
        <w:spacing w:before="80" w:after="80"/>
      </w:pPr>
      <w:r>
        <w:rPr>
          <w:color w:val="2D2D2D"/>
        </w:rPr>
        <w:t>251 customers (50% of the total base) hold a savings account but have neither a Fixed Deposit nor an Insurance product. These customers collectively hold LKR 222,385,272 in savings. This represents a significant and immediately actionable revenue opportunity. If even 30% of this group were converted to a Fixed Deposit product, it would generate meaningful fee income and deepen customer relationships, improving retention.</w:t>
      </w:r>
    </w:p>
    <w:p w14:paraId="2E8B91BC" w14:textId="77777777" w:rsidR="00C021E8" w:rsidRDefault="00C021E8">
      <w:pPr>
        <w:spacing w:before="80" w:after="80"/>
      </w:pPr>
    </w:p>
    <w:p w14:paraId="3B629B62" w14:textId="77777777" w:rsidR="00C021E8" w:rsidRDefault="00000000">
      <w:pPr>
        <w:spacing w:before="80" w:after="80"/>
      </w:pPr>
      <w:r>
        <w:rPr>
          <w:b/>
          <w:bCs/>
          <w:color w:val="2D2D2D"/>
        </w:rPr>
        <w:t>Finding 4 — Agent Channel Delivers the Lowest Loan Default Rate</w:t>
      </w:r>
    </w:p>
    <w:p w14:paraId="50EFE062" w14:textId="77777777" w:rsidR="00C021E8" w:rsidRDefault="00000000">
      <w:pPr>
        <w:spacing w:before="80" w:after="80"/>
      </w:pPr>
      <w:r>
        <w:rPr>
          <w:color w:val="2D2D2D"/>
        </w:rPr>
        <w:t>Customers acquired through the Agent channel have a loan default rate of only 5.4%, compared to 11.1% for Digital and 11.8% for Branch. However, Agent-acquired customers also have the lowest average savings balance (LKR 645,883). Branch-acquired customers have the highest average savings (LKR 841,984) but come with higher default risk. There is no single best channel — each serves a different purpose and should be managed accordingly.</w:t>
      </w:r>
    </w:p>
    <w:p w14:paraId="1D7FEB04" w14:textId="77777777" w:rsidR="00C021E8" w:rsidRDefault="00C021E8">
      <w:pPr>
        <w:spacing w:before="80" w:after="80"/>
      </w:pPr>
    </w:p>
    <w:p w14:paraId="4F67C302" w14:textId="77777777" w:rsidR="00C021E8" w:rsidRDefault="00C021E8">
      <w:pPr>
        <w:pBdr>
          <w:bottom w:val="single" w:sz="6" w:space="1" w:color="1B3A6B"/>
        </w:pBdr>
        <w:spacing w:before="120" w:after="120"/>
      </w:pPr>
    </w:p>
    <w:p w14:paraId="5AB0F34D" w14:textId="77777777" w:rsidR="00C021E8" w:rsidRDefault="00C021E8">
      <w:pPr>
        <w:spacing w:before="80" w:after="80"/>
      </w:pPr>
    </w:p>
    <w:p w14:paraId="5172A711" w14:textId="77777777" w:rsidR="00C021E8" w:rsidRDefault="00000000">
      <w:pPr>
        <w:pStyle w:val="Heading2"/>
      </w:pPr>
      <w:r>
        <w:t>Section 2: Strategic Recommendations</w:t>
      </w:r>
    </w:p>
    <w:p w14:paraId="368005B4" w14:textId="77777777" w:rsidR="00C021E8" w:rsidRDefault="00C021E8">
      <w:pPr>
        <w:spacing w:before="80" w:after="80"/>
      </w:pPr>
    </w:p>
    <w:p w14:paraId="68678BA7" w14:textId="77777777" w:rsidR="00C021E8" w:rsidRDefault="00000000">
      <w:pPr>
        <w:spacing w:before="80" w:after="80"/>
      </w:pPr>
      <w:r>
        <w:rPr>
          <w:b/>
          <w:bCs/>
          <w:color w:val="2D2D2D"/>
        </w:rPr>
        <w:t>Recommendation 1 — Introduce Risk-Based Lending Controls for Starter Segment Vehicle Loans</w:t>
      </w:r>
    </w:p>
    <w:p w14:paraId="67656786" w14:textId="77777777" w:rsidR="00C021E8" w:rsidRDefault="00000000">
      <w:pPr>
        <w:spacing w:before="80" w:after="80"/>
      </w:pPr>
      <w:r>
        <w:rPr>
          <w:color w:val="2D2D2D"/>
        </w:rPr>
        <w:t>The data shows that Starter segment customers taking Vehicle loans represent the highest concentration of default risk in the entire portfolio. This specific combination should trigger additional credit checks, a lower loan-to-savings ratio cap, or a requirement for a guarantor. Tightening criteria for this group alone would reduce the overall portfolio default rate without restricting lending to lower-risk combinations. This action directly addresses the LKR 130 million over-leverage exposure identified in Finding 2.</w:t>
      </w:r>
    </w:p>
    <w:p w14:paraId="38416210" w14:textId="77777777" w:rsidR="00C021E8" w:rsidRDefault="00C021E8">
      <w:pPr>
        <w:spacing w:before="80" w:after="80"/>
      </w:pPr>
    </w:p>
    <w:p w14:paraId="3F5BC63F" w14:textId="77777777" w:rsidR="00C021E8" w:rsidRDefault="00000000">
      <w:pPr>
        <w:spacing w:before="80" w:after="80"/>
      </w:pPr>
      <w:r>
        <w:rPr>
          <w:b/>
          <w:bCs/>
          <w:color w:val="2D2D2D"/>
        </w:rPr>
        <w:t>Recommendation 2 — Launch a Targeted Cross-Sell Campaign for the 251 Savings-Only Customers</w:t>
      </w:r>
    </w:p>
    <w:p w14:paraId="3ED12ED6" w14:textId="40585EBF" w:rsidR="00C021E8" w:rsidRDefault="00000000">
      <w:pPr>
        <w:spacing w:before="80" w:after="80"/>
      </w:pPr>
      <w:r>
        <w:rPr>
          <w:color w:val="2D2D2D"/>
        </w:rPr>
        <w:t xml:space="preserve">The 251 customers who hold savings but no Fixed Deposit or Insurance are a ready and reachable audience. </w:t>
      </w:r>
      <w:r w:rsidR="0094122E">
        <w:rPr>
          <w:color w:val="2D2D2D"/>
        </w:rPr>
        <w:t>FinSight</w:t>
      </w:r>
      <w:r>
        <w:rPr>
          <w:color w:val="2D2D2D"/>
        </w:rPr>
        <w:t xml:space="preserve"> Lanka should </w:t>
      </w:r>
      <w:r w:rsidR="0094122E">
        <w:rPr>
          <w:color w:val="2D2D2D"/>
        </w:rPr>
        <w:t>priorities</w:t>
      </w:r>
      <w:r>
        <w:rPr>
          <w:color w:val="2D2D2D"/>
        </w:rPr>
        <w:t xml:space="preserve"> this group for a targeted outreach campaign offering Fixed Deposit products, starting with the Premium and Regular sub-segments who hold the highest balances. A conversion rate of even 25% would materially increase fee income and product depth per customer. This directly addresses Finding 3 and supports the Mobile App Adoption KPI by promoting digital product uptake through the app.</w:t>
      </w:r>
    </w:p>
    <w:p w14:paraId="79FE9A4F" w14:textId="77777777" w:rsidR="00C021E8" w:rsidRDefault="00C021E8">
      <w:pPr>
        <w:spacing w:before="80" w:after="80"/>
      </w:pPr>
    </w:p>
    <w:p w14:paraId="3772CF59" w14:textId="77777777" w:rsidR="00C021E8" w:rsidRDefault="00C021E8">
      <w:pPr>
        <w:pBdr>
          <w:bottom w:val="single" w:sz="6" w:space="1" w:color="1B3A6B"/>
        </w:pBdr>
        <w:spacing w:before="120" w:after="120"/>
      </w:pPr>
    </w:p>
    <w:p w14:paraId="4A894C8B" w14:textId="77777777" w:rsidR="00C021E8" w:rsidRDefault="00C021E8">
      <w:pPr>
        <w:spacing w:before="80" w:after="80"/>
      </w:pPr>
    </w:p>
    <w:p w14:paraId="104A47B7" w14:textId="77777777" w:rsidR="00C021E8" w:rsidRDefault="00000000">
      <w:pPr>
        <w:pStyle w:val="Heading2"/>
      </w:pPr>
      <w:r>
        <w:t>Section 3: Additional Data Sources</w:t>
      </w:r>
    </w:p>
    <w:p w14:paraId="0CADFB72" w14:textId="77777777" w:rsidR="00C021E8" w:rsidRDefault="00C021E8">
      <w:pPr>
        <w:spacing w:before="80" w:after="80"/>
      </w:pPr>
    </w:p>
    <w:p w14:paraId="0993EE3A" w14:textId="77777777" w:rsidR="00C021E8" w:rsidRDefault="00000000">
      <w:pPr>
        <w:spacing w:before="80" w:after="80"/>
      </w:pPr>
      <w:r>
        <w:rPr>
          <w:b/>
          <w:bCs/>
          <w:color w:val="2D2D2D"/>
        </w:rPr>
        <w:t>Additional Data Source 1 — Monthly Transaction History (12 months)</w:t>
      </w:r>
    </w:p>
    <w:p w14:paraId="0B26E830" w14:textId="77777777" w:rsidR="00C021E8" w:rsidRDefault="00000000">
      <w:pPr>
        <w:spacing w:before="80" w:after="80"/>
      </w:pPr>
      <w:r>
        <w:rPr>
          <w:color w:val="2D2D2D"/>
        </w:rPr>
        <w:t xml:space="preserve">The current dataset only provides averages for deposits and withdrawals. Access to 12 months of actual monthly transaction data would allow trend analysis — identifying whether a customer's savings </w:t>
      </w:r>
      <w:proofErr w:type="gramStart"/>
      <w:r>
        <w:rPr>
          <w:color w:val="2D2D2D"/>
        </w:rPr>
        <w:t>are</w:t>
      </w:r>
      <w:proofErr w:type="gramEnd"/>
      <w:r>
        <w:rPr>
          <w:color w:val="2D2D2D"/>
        </w:rPr>
        <w:t xml:space="preserve"> growing or declining over time, seasonal patterns in withdrawals, and early warning signs of financial stress before a loan defaults. This would significantly strengthen the Debt-to-Savings Ratio analysis and enable predictive risk scoring.</w:t>
      </w:r>
    </w:p>
    <w:p w14:paraId="6EA626FE" w14:textId="77777777" w:rsidR="00C021E8" w:rsidRDefault="00C021E8">
      <w:pPr>
        <w:spacing w:before="80" w:after="80"/>
      </w:pPr>
    </w:p>
    <w:p w14:paraId="7732C8E5" w14:textId="77777777" w:rsidR="00C021E8" w:rsidRDefault="00000000">
      <w:pPr>
        <w:spacing w:before="80" w:after="80"/>
      </w:pPr>
      <w:r>
        <w:rPr>
          <w:b/>
          <w:bCs/>
          <w:color w:val="2D2D2D"/>
        </w:rPr>
        <w:t>Additional Data Source 2 — Customer Income and Employment Data</w:t>
      </w:r>
    </w:p>
    <w:p w14:paraId="7251E54F" w14:textId="77777777" w:rsidR="00C021E8" w:rsidRDefault="00000000">
      <w:pPr>
        <w:spacing w:before="80" w:after="80"/>
      </w:pPr>
      <w:r>
        <w:rPr>
          <w:color w:val="2D2D2D"/>
        </w:rPr>
        <w:t>The dataset contains no information about customer income, employment status, or employer type. This is a critical gap because the Debt-to-Savings Ratio alone does not tell us whether a customer can afford their loan repayments — it only tells us what they currently hold. A customer with a high salary and a high loan balance is far less risky than a customer with the same loan balance but no stable income. Income data would transform the risk analysis from backward-looking to genuinely predictive.</w:t>
      </w:r>
    </w:p>
    <w:p w14:paraId="4AD70C19" w14:textId="77777777" w:rsidR="00C021E8" w:rsidRDefault="00C021E8">
      <w:pPr>
        <w:spacing w:before="80" w:after="80"/>
      </w:pPr>
    </w:p>
    <w:p w14:paraId="36F7F36C" w14:textId="77777777" w:rsidR="00C021E8" w:rsidRDefault="00000000">
      <w:r>
        <w:br w:type="page"/>
      </w:r>
    </w:p>
    <w:p w14:paraId="614255FE" w14:textId="77777777" w:rsidR="00C021E8" w:rsidRDefault="00000000">
      <w:pPr>
        <w:pStyle w:val="Heading1"/>
      </w:pPr>
      <w:r>
        <w:lastRenderedPageBreak/>
        <w:t>Q6 — Critique of Own Analysis</w:t>
      </w:r>
    </w:p>
    <w:p w14:paraId="48E9D05B" w14:textId="77777777" w:rsidR="00C021E8" w:rsidRDefault="00000000">
      <w:pPr>
        <w:spacing w:before="80" w:after="80"/>
      </w:pPr>
      <w:r>
        <w:rPr>
          <w:color w:val="2D2D2D"/>
        </w:rPr>
        <w:t>The following critiques identify specific weaknesses in the analysis above. Strong analysis requires honest reflection on its own limitations.</w:t>
      </w:r>
    </w:p>
    <w:p w14:paraId="4CEB2027" w14:textId="77777777" w:rsidR="00C021E8" w:rsidRDefault="00C021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3"/>
        <w:gridCol w:w="1019"/>
        <w:gridCol w:w="2327"/>
        <w:gridCol w:w="2931"/>
      </w:tblGrid>
      <w:tr w:rsidR="00C021E8" w14:paraId="65F9CCAB" w14:textId="77777777">
        <w:tblPrEx>
          <w:tblCellMar>
            <w:top w:w="0" w:type="dxa"/>
            <w:bottom w:w="0" w:type="dxa"/>
          </w:tblCellMar>
        </w:tblPrEx>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33D63FD" w14:textId="77777777" w:rsidR="00C021E8" w:rsidRDefault="00000000">
            <w:r>
              <w:rPr>
                <w:b/>
                <w:bCs/>
                <w:color w:val="FFFFFF"/>
                <w:sz w:val="20"/>
                <w:szCs w:val="20"/>
              </w:rPr>
              <w:t>Criticism</w:t>
            </w:r>
          </w:p>
        </w:tc>
        <w:tc>
          <w:tcPr>
            <w:tcW w:w="936"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31C95D" w14:textId="77777777" w:rsidR="00C021E8" w:rsidRDefault="00000000">
            <w:pPr>
              <w:jc w:val="center"/>
            </w:pPr>
            <w:r>
              <w:rPr>
                <w:b/>
                <w:bCs/>
                <w:color w:val="FFFFFF"/>
                <w:sz w:val="20"/>
                <w:szCs w:val="20"/>
              </w:rPr>
              <w:t>Severity</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206B05B" w14:textId="77777777" w:rsidR="00C021E8" w:rsidRDefault="00000000">
            <w:r>
              <w:rPr>
                <w:b/>
                <w:bCs/>
                <w:color w:val="FFFFFF"/>
                <w:sz w:val="20"/>
                <w:szCs w:val="20"/>
              </w:rPr>
              <w:t>Why It Matters</w:t>
            </w:r>
          </w:p>
        </w:tc>
        <w:tc>
          <w:tcPr>
            <w:tcW w:w="2964"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5A8560B" w14:textId="77777777" w:rsidR="00C021E8" w:rsidRDefault="00000000">
            <w:r>
              <w:rPr>
                <w:b/>
                <w:bCs/>
                <w:color w:val="FFFFFF"/>
                <w:sz w:val="20"/>
                <w:szCs w:val="20"/>
              </w:rPr>
              <w:t>How to Address</w:t>
            </w:r>
          </w:p>
        </w:tc>
      </w:tr>
      <w:tr w:rsidR="00C021E8" w14:paraId="09859B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2DB2CF" w14:textId="03942063" w:rsidR="00C021E8" w:rsidRDefault="00000000">
            <w:r>
              <w:rPr>
                <w:color w:val="2D2D2D"/>
                <w:sz w:val="20"/>
                <w:szCs w:val="20"/>
              </w:rPr>
              <w:t xml:space="preserve">100% positive Net Monthly Flow is statistically unrealistic. In real banking, 15-30% of customers typically drain savings monthly. This anomaly was not resolved — it likely reflects how the dataset was constructed rather than real </w:t>
            </w:r>
            <w:r w:rsidR="0094122E">
              <w:rPr>
                <w:color w:val="2D2D2D"/>
                <w:sz w:val="20"/>
                <w:szCs w:val="20"/>
              </w:rPr>
              <w:t>behavior</w:t>
            </w:r>
            <w:r>
              <w:rPr>
                <w:color w:val="2D2D2D"/>
                <w:sz w:val="20"/>
                <w:szCs w:val="20"/>
              </w:rPr>
              <w:t>.</w:t>
            </w:r>
          </w:p>
        </w:tc>
        <w:tc>
          <w:tcPr>
            <w:tcW w:w="93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317E3F" w14:textId="77777777" w:rsidR="00C021E8" w:rsidRDefault="00000000">
            <w:pPr>
              <w:jc w:val="center"/>
            </w:pPr>
            <w:r>
              <w:rPr>
                <w:b/>
                <w:bCs/>
                <w:color w:val="C0392B"/>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C528ED" w14:textId="77777777" w:rsidR="00C021E8" w:rsidRDefault="00000000">
            <w:r>
              <w:rPr>
                <w:color w:val="2D2D2D"/>
                <w:sz w:val="20"/>
                <w:szCs w:val="20"/>
              </w:rPr>
              <w:t>Any conclusion about customer savings health drawn from this metric is unreliable. Reporting that 100% of customers are growing savings would mislead decision-makers.</w:t>
            </w:r>
          </w:p>
        </w:tc>
        <w:tc>
          <w:tcPr>
            <w:tcW w:w="296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BFF779" w14:textId="77777777" w:rsidR="00C021E8" w:rsidRDefault="00000000">
            <w:r>
              <w:rPr>
                <w:color w:val="2D2D2D"/>
                <w:sz w:val="20"/>
                <w:szCs w:val="20"/>
              </w:rPr>
              <w:t>Request actual monthly transaction history for 12 months. Use month-on-month balance change rather than a single average flow figure.</w:t>
            </w:r>
          </w:p>
        </w:tc>
      </w:tr>
      <w:tr w:rsidR="00C021E8" w14:paraId="0A7723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1F098" w14:textId="77777777" w:rsidR="00C021E8" w:rsidRDefault="00000000">
            <w:r>
              <w:rPr>
                <w:color w:val="2D2D2D"/>
                <w:sz w:val="20"/>
                <w:szCs w:val="20"/>
              </w:rPr>
              <w:t>The Eastern Province average savings figure (LKR 965,044) was flagged as surprising but not investigated further. With only 49 customers, this could be driven by 2-3 outliers inflating the average.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F29F" w14:textId="77777777" w:rsidR="00C021E8" w:rsidRDefault="00000000">
            <w:pPr>
              <w:jc w:val="center"/>
            </w:pPr>
            <w:r>
              <w:rPr>
                <w:b/>
                <w:bCs/>
                <w:color w:val="E67E22"/>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C430" w14:textId="77777777" w:rsidR="00C021E8" w:rsidRDefault="00000000">
            <w:r>
              <w:rPr>
                <w:color w:val="2D2D2D"/>
                <w:sz w:val="20"/>
                <w:szCs w:val="20"/>
              </w:rPr>
              <w:t>If a recommendation were made to invest in Eastern Province based on this figure, it could be entirely misleading if the high average is driven by outliers rather than a genuinely wealthy customer base.</w:t>
            </w:r>
          </w:p>
        </w:tc>
        <w:tc>
          <w:tcPr>
            <w:tcW w:w="2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13D2" w14:textId="77777777" w:rsidR="00C021E8" w:rsidRDefault="00000000">
            <w:r>
              <w:rPr>
                <w:color w:val="2D2D2D"/>
                <w:sz w:val="20"/>
                <w:szCs w:val="20"/>
              </w:rPr>
              <w:t>Use median instead of mean for small provincial groups. Identify and investigate the top 5 customers in Eastern Province to determine if they are genuine outliers.</w:t>
            </w:r>
          </w:p>
        </w:tc>
      </w:tr>
      <w:tr w:rsidR="00C021E8" w14:paraId="15AC8C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98BE0A" w14:textId="77777777" w:rsidR="00C021E8" w:rsidRDefault="00000000">
            <w:r>
              <w:rPr>
                <w:color w:val="2D2D2D"/>
                <w:sz w:val="20"/>
                <w:szCs w:val="20"/>
              </w:rPr>
              <w:t>Age was recalculated from Date_of_Birth using today's date, but 3 customers had impossible ages (4, 134, 150) and were excluded. No attempt was made to verify the remaining ages against NIC numbers for the full dataset.</w:t>
            </w:r>
          </w:p>
        </w:tc>
        <w:tc>
          <w:tcPr>
            <w:tcW w:w="93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BF3A62" w14:textId="77777777" w:rsidR="00C021E8" w:rsidRDefault="00000000">
            <w:pPr>
              <w:jc w:val="center"/>
            </w:pPr>
            <w:r>
              <w:rPr>
                <w:b/>
                <w:bCs/>
                <w:color w:val="E67E22"/>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2F96A6" w14:textId="77777777" w:rsidR="00C021E8" w:rsidRDefault="00000000">
            <w:r>
              <w:rPr>
                <w:color w:val="2D2D2D"/>
                <w:sz w:val="20"/>
                <w:szCs w:val="20"/>
              </w:rPr>
              <w:t>If additional ages are wrong due to data entry errors (e.g., 1984 entered as 2984), the age band analysis conclusions about which group holds the most savings would be incorrect.</w:t>
            </w:r>
          </w:p>
        </w:tc>
        <w:tc>
          <w:tcPr>
            <w:tcW w:w="296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B317FF" w14:textId="77777777" w:rsidR="00C021E8" w:rsidRDefault="00000000">
            <w:r>
              <w:rPr>
                <w:color w:val="2D2D2D"/>
                <w:sz w:val="20"/>
                <w:szCs w:val="20"/>
              </w:rPr>
              <w:t>Write a full NIC validation script to extract the birth year from all NIC numbers and cross-check against Date_of_Birth for every row, not just the obvious outliers.</w:t>
            </w:r>
          </w:p>
        </w:tc>
      </w:tr>
      <w:tr w:rsidR="00C021E8" w14:paraId="1B0568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A7FE8" w14:textId="77777777" w:rsidR="00C021E8" w:rsidRDefault="00000000">
            <w:r>
              <w:rPr>
                <w:color w:val="2D2D2D"/>
                <w:sz w:val="20"/>
                <w:szCs w:val="20"/>
              </w:rPr>
              <w:t>The cross-sell opportunity (251 customers) was calculated based on missing FD and Insurance only. It does not account for whether those customers were already offered these products and declined, or whether they are ineligible.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9B536" w14:textId="77777777" w:rsidR="00C021E8" w:rsidRDefault="00000000">
            <w:pPr>
              <w:jc w:val="center"/>
            </w:pPr>
            <w:r>
              <w:rPr>
                <w:b/>
                <w:bCs/>
                <w:color w:val="E67E22"/>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887F" w14:textId="77777777" w:rsidR="00C021E8" w:rsidRDefault="00000000">
            <w:r>
              <w:rPr>
                <w:color w:val="2D2D2D"/>
                <w:sz w:val="20"/>
                <w:szCs w:val="20"/>
              </w:rPr>
              <w:t>If 80 of those 251 customers already declined a Fixed Deposit offer, targeting them again wastes resources and may damage the customer relationship. The true addressable opportunity is smaller than reported.</w:t>
            </w:r>
          </w:p>
        </w:tc>
        <w:tc>
          <w:tcPr>
            <w:tcW w:w="2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4C99" w14:textId="77777777" w:rsidR="00C021E8" w:rsidRDefault="00000000">
            <w:r>
              <w:rPr>
                <w:color w:val="2D2D2D"/>
                <w:sz w:val="20"/>
                <w:szCs w:val="20"/>
              </w:rPr>
              <w:t>Request a product offer history or CRM interaction log to filter out customers who have already been approached. The opportunity should be scoped to genuinely cold prospects only.</w:t>
            </w:r>
          </w:p>
        </w:tc>
      </w:tr>
      <w:tr w:rsidR="00C021E8" w14:paraId="4353A7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98AE56" w14:textId="77777777" w:rsidR="00C021E8" w:rsidRDefault="00000000">
            <w:r>
              <w:rPr>
                <w:color w:val="2D2D2D"/>
                <w:sz w:val="20"/>
                <w:szCs w:val="20"/>
              </w:rPr>
              <w:t xml:space="preserve">The dataset has only 500 customers covering all of Sri Lanka. Some districts and segments have very few records (e.g., 56-65 age band </w:t>
            </w:r>
            <w:r>
              <w:rPr>
                <w:color w:val="2D2D2D"/>
                <w:sz w:val="20"/>
                <w:szCs w:val="20"/>
              </w:rPr>
              <w:lastRenderedPageBreak/>
              <w:t>has only 5 customers). Statistical conclusions drawn from such small subgroups are not reliable.</w:t>
            </w:r>
          </w:p>
        </w:tc>
        <w:tc>
          <w:tcPr>
            <w:tcW w:w="93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64F495" w14:textId="77777777" w:rsidR="00C021E8" w:rsidRDefault="00000000">
            <w:pPr>
              <w:jc w:val="center"/>
            </w:pPr>
            <w:r>
              <w:rPr>
                <w:b/>
                <w:bCs/>
                <w:color w:val="C0392B"/>
                <w:sz w:val="20"/>
                <w:szCs w:val="20"/>
              </w:rPr>
              <w:lastRenderedPageBreak/>
              <w:t>High</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07BBB8" w14:textId="77777777" w:rsidR="00C021E8" w:rsidRDefault="00000000">
            <w:r>
              <w:rPr>
                <w:color w:val="2D2D2D"/>
                <w:sz w:val="20"/>
                <w:szCs w:val="20"/>
              </w:rPr>
              <w:t xml:space="preserve">A default rate of 16.7% in Kurunegala sounds alarming but could be based on as few as 6 defaulted customers </w:t>
            </w:r>
            <w:r>
              <w:rPr>
                <w:color w:val="2D2D2D"/>
                <w:sz w:val="20"/>
                <w:szCs w:val="20"/>
              </w:rPr>
              <w:lastRenderedPageBreak/>
              <w:t>out of 36. This is not statistically significant enough to make lending policy decisions.</w:t>
            </w:r>
          </w:p>
        </w:tc>
        <w:tc>
          <w:tcPr>
            <w:tcW w:w="296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B92F2E" w14:textId="77777777" w:rsidR="00C021E8" w:rsidRDefault="00000000">
            <w:r>
              <w:rPr>
                <w:color w:val="2D2D2D"/>
                <w:sz w:val="20"/>
                <w:szCs w:val="20"/>
              </w:rPr>
              <w:lastRenderedPageBreak/>
              <w:t>Apply a minimum sample size threshold (e.g., exclude subgroups with fewer than 30 customers from rate-based conclusions). Flag all small-</w:t>
            </w:r>
            <w:r>
              <w:rPr>
                <w:color w:val="2D2D2D"/>
                <w:sz w:val="20"/>
                <w:szCs w:val="20"/>
              </w:rPr>
              <w:lastRenderedPageBreak/>
              <w:t>sample findings with a confidence warning.</w:t>
            </w:r>
          </w:p>
        </w:tc>
      </w:tr>
    </w:tbl>
    <w:p w14:paraId="7B3D0938" w14:textId="77777777" w:rsidR="00C021E8" w:rsidRDefault="00C021E8">
      <w:pPr>
        <w:spacing w:before="80" w:after="80"/>
      </w:pPr>
    </w:p>
    <w:p w14:paraId="6F97A593" w14:textId="77777777" w:rsidR="00C021E8" w:rsidRDefault="00C021E8">
      <w:pPr>
        <w:spacing w:before="80" w:after="80"/>
      </w:pPr>
    </w:p>
    <w:p w14:paraId="27B7D88A" w14:textId="77777777" w:rsidR="00C021E8" w:rsidRDefault="00C021E8">
      <w:pPr>
        <w:pBdr>
          <w:bottom w:val="single" w:sz="6" w:space="1" w:color="1B3A6B"/>
        </w:pBdr>
        <w:spacing w:before="120" w:after="120"/>
      </w:pPr>
    </w:p>
    <w:p w14:paraId="52FADB68" w14:textId="65D08EC3" w:rsidR="00C021E8" w:rsidRDefault="00C021E8" w:rsidP="00907AB3">
      <w:pPr>
        <w:spacing w:before="120"/>
      </w:pPr>
    </w:p>
    <w:sectPr w:rsidR="00C021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37A24"/>
    <w:multiLevelType w:val="hybridMultilevel"/>
    <w:tmpl w:val="B9708AF4"/>
    <w:lvl w:ilvl="0" w:tplc="3EDA8D58">
      <w:start w:val="1"/>
      <w:numFmt w:val="bullet"/>
      <w:lvlText w:val="●"/>
      <w:lvlJc w:val="left"/>
      <w:pPr>
        <w:ind w:left="720" w:hanging="360"/>
      </w:pPr>
    </w:lvl>
    <w:lvl w:ilvl="1" w:tplc="FC027C24">
      <w:start w:val="1"/>
      <w:numFmt w:val="bullet"/>
      <w:lvlText w:val="○"/>
      <w:lvlJc w:val="left"/>
      <w:pPr>
        <w:ind w:left="1440" w:hanging="360"/>
      </w:pPr>
    </w:lvl>
    <w:lvl w:ilvl="2" w:tplc="E780B28A">
      <w:start w:val="1"/>
      <w:numFmt w:val="bullet"/>
      <w:lvlText w:val="■"/>
      <w:lvlJc w:val="left"/>
      <w:pPr>
        <w:ind w:left="2160" w:hanging="360"/>
      </w:pPr>
    </w:lvl>
    <w:lvl w:ilvl="3" w:tplc="DC4E308E">
      <w:start w:val="1"/>
      <w:numFmt w:val="bullet"/>
      <w:lvlText w:val="●"/>
      <w:lvlJc w:val="left"/>
      <w:pPr>
        <w:ind w:left="2880" w:hanging="360"/>
      </w:pPr>
    </w:lvl>
    <w:lvl w:ilvl="4" w:tplc="43F20934">
      <w:start w:val="1"/>
      <w:numFmt w:val="bullet"/>
      <w:lvlText w:val="○"/>
      <w:lvlJc w:val="left"/>
      <w:pPr>
        <w:ind w:left="3600" w:hanging="360"/>
      </w:pPr>
    </w:lvl>
    <w:lvl w:ilvl="5" w:tplc="76AC16C4">
      <w:start w:val="1"/>
      <w:numFmt w:val="bullet"/>
      <w:lvlText w:val="■"/>
      <w:lvlJc w:val="left"/>
      <w:pPr>
        <w:ind w:left="4320" w:hanging="360"/>
      </w:pPr>
    </w:lvl>
    <w:lvl w:ilvl="6" w:tplc="ACCA49C4">
      <w:start w:val="1"/>
      <w:numFmt w:val="bullet"/>
      <w:lvlText w:val="●"/>
      <w:lvlJc w:val="left"/>
      <w:pPr>
        <w:ind w:left="5040" w:hanging="360"/>
      </w:pPr>
    </w:lvl>
    <w:lvl w:ilvl="7" w:tplc="6C044290">
      <w:start w:val="1"/>
      <w:numFmt w:val="bullet"/>
      <w:lvlText w:val="●"/>
      <w:lvlJc w:val="left"/>
      <w:pPr>
        <w:ind w:left="5760" w:hanging="360"/>
      </w:pPr>
    </w:lvl>
    <w:lvl w:ilvl="8" w:tplc="E6328E96">
      <w:start w:val="1"/>
      <w:numFmt w:val="bullet"/>
      <w:lvlText w:val="●"/>
      <w:lvlJc w:val="left"/>
      <w:pPr>
        <w:ind w:left="6480" w:hanging="360"/>
      </w:pPr>
    </w:lvl>
  </w:abstractNum>
  <w:abstractNum w:abstractNumId="1" w15:restartNumberingAfterBreak="0">
    <w:nsid w:val="7B3445FA"/>
    <w:multiLevelType w:val="hybridMultilevel"/>
    <w:tmpl w:val="8A7095A4"/>
    <w:lvl w:ilvl="0" w:tplc="4EF8179C">
      <w:start w:val="1"/>
      <w:numFmt w:val="bullet"/>
      <w:lvlText w:val="•"/>
      <w:lvlJc w:val="left"/>
      <w:pPr>
        <w:ind w:left="720" w:hanging="360"/>
      </w:pPr>
    </w:lvl>
    <w:lvl w:ilvl="1" w:tplc="1D78E65C">
      <w:numFmt w:val="decimal"/>
      <w:lvlText w:val=""/>
      <w:lvlJc w:val="left"/>
    </w:lvl>
    <w:lvl w:ilvl="2" w:tplc="0B3E9850">
      <w:numFmt w:val="decimal"/>
      <w:lvlText w:val=""/>
      <w:lvlJc w:val="left"/>
    </w:lvl>
    <w:lvl w:ilvl="3" w:tplc="E5383C5C">
      <w:numFmt w:val="decimal"/>
      <w:lvlText w:val=""/>
      <w:lvlJc w:val="left"/>
    </w:lvl>
    <w:lvl w:ilvl="4" w:tplc="295859D2">
      <w:numFmt w:val="decimal"/>
      <w:lvlText w:val=""/>
      <w:lvlJc w:val="left"/>
    </w:lvl>
    <w:lvl w:ilvl="5" w:tplc="410279C6">
      <w:numFmt w:val="decimal"/>
      <w:lvlText w:val=""/>
      <w:lvlJc w:val="left"/>
    </w:lvl>
    <w:lvl w:ilvl="6" w:tplc="438847BA">
      <w:numFmt w:val="decimal"/>
      <w:lvlText w:val=""/>
      <w:lvlJc w:val="left"/>
    </w:lvl>
    <w:lvl w:ilvl="7" w:tplc="05B89CDA">
      <w:numFmt w:val="decimal"/>
      <w:lvlText w:val=""/>
      <w:lvlJc w:val="left"/>
    </w:lvl>
    <w:lvl w:ilvl="8" w:tplc="E3CCB01C">
      <w:numFmt w:val="decimal"/>
      <w:lvlText w:val=""/>
      <w:lvlJc w:val="left"/>
    </w:lvl>
  </w:abstractNum>
  <w:num w:numId="1" w16cid:durableId="1975138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1E8"/>
    <w:rsid w:val="00907AB3"/>
    <w:rsid w:val="0094122E"/>
    <w:rsid w:val="009A59A9"/>
    <w:rsid w:val="00C021E8"/>
    <w:rsid w:val="00C62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CBDD"/>
  <w15:docId w15:val="{D22A7108-1DC5-4804-B3D1-DFBF0E4AA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2"/>
      <w:szCs w:val="32"/>
    </w:rPr>
  </w:style>
  <w:style w:type="paragraph" w:styleId="Heading2">
    <w:name w:val="heading 2"/>
    <w:uiPriority w:val="9"/>
    <w:unhideWhenUsed/>
    <w:qFormat/>
    <w:pPr>
      <w:spacing w:before="240" w:after="120"/>
      <w:outlineLvl w:val="1"/>
    </w:pPr>
    <w:rPr>
      <w:b/>
      <w:bCs/>
      <w:color w:val="1B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AHAMED NISMI</cp:lastModifiedBy>
  <cp:revision>6</cp:revision>
  <dcterms:created xsi:type="dcterms:W3CDTF">2026-05-17T13:00:00Z</dcterms:created>
  <dcterms:modified xsi:type="dcterms:W3CDTF">2026-05-17T14:19:00Z</dcterms:modified>
</cp:coreProperties>
</file>